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73DA" w14:textId="77777777" w:rsidR="00C41866" w:rsidRPr="0055056D" w:rsidRDefault="00C41866" w:rsidP="00C41866">
      <w:pPr>
        <w:pStyle w:val="MBT"/>
        <w:rPr>
          <w:rFonts w:eastAsia="Calibri" w:cs="Arial"/>
        </w:rPr>
        <w:sectPr w:rsidR="00C41866" w:rsidRPr="0055056D" w:rsidSect="00C41866">
          <w:footerReference w:type="first" r:id="rId11"/>
          <w:pgSz w:w="11906" w:h="16838" w:code="9"/>
          <w:pgMar w:top="720" w:right="720" w:bottom="720" w:left="720" w:header="709" w:footer="709" w:gutter="0"/>
          <w:cols w:space="708"/>
          <w:docGrid w:linePitch="360"/>
        </w:sectPr>
      </w:pPr>
      <w:r w:rsidRPr="0055056D">
        <w:rPr>
          <w:rFonts w:eastAsia="Calibri" w:cs="Arial"/>
          <w:noProof/>
          <w:lang w:eastAsia="en-US"/>
        </w:rPr>
        <mc:AlternateContent>
          <mc:Choice Requires="wpg">
            <w:drawing>
              <wp:anchor distT="0" distB="0" distL="114300" distR="114300" simplePos="0" relativeHeight="251658243" behindDoc="0" locked="0" layoutInCell="1" allowOverlap="1" wp14:anchorId="5FC9B65E" wp14:editId="4620DF43">
                <wp:simplePos x="0" y="0"/>
                <wp:positionH relativeFrom="column">
                  <wp:posOffset>69850</wp:posOffset>
                </wp:positionH>
                <wp:positionV relativeFrom="paragraph">
                  <wp:posOffset>76200</wp:posOffset>
                </wp:positionV>
                <wp:extent cx="6698615" cy="3591774"/>
                <wp:effectExtent l="0" t="0" r="26035" b="8890"/>
                <wp:wrapNone/>
                <wp:docPr id="25" name="Group 25"/>
                <wp:cNvGraphicFramePr/>
                <a:graphic xmlns:a="http://schemas.openxmlformats.org/drawingml/2006/main">
                  <a:graphicData uri="http://schemas.microsoft.com/office/word/2010/wordprocessingGroup">
                    <wpg:wgp>
                      <wpg:cNvGrpSpPr/>
                      <wpg:grpSpPr>
                        <a:xfrm>
                          <a:off x="0" y="0"/>
                          <a:ext cx="6698615" cy="3591774"/>
                          <a:chOff x="0" y="0"/>
                          <a:chExt cx="5319423" cy="3591774"/>
                        </a:xfrm>
                      </wpg:grpSpPr>
                      <wps:wsp>
                        <wps:cNvPr id="18" name="Straight Connector 5"/>
                        <wps:cNvCnPr>
                          <a:cxnSpLocks noChangeShapeType="1"/>
                        </wps:cNvCnPr>
                        <wps:spPr bwMode="auto">
                          <a:xfrm flipV="1">
                            <a:off x="5319423" y="39757"/>
                            <a:ext cx="0" cy="2825262"/>
                          </a:xfrm>
                          <a:prstGeom prst="line">
                            <a:avLst/>
                          </a:prstGeom>
                          <a:noFill/>
                          <a:ln w="38100" algn="ctr">
                            <a:solidFill>
                              <a:schemeClr val="bg2"/>
                            </a:solidFill>
                            <a:round/>
                            <a:headEnd/>
                            <a:tailEnd/>
                          </a:ln>
                          <a:extLst>
                            <a:ext uri="{909E8E84-426E-40DD-AFC4-6F175D3DCCD1}">
                              <a14:hiddenFill xmlns:a14="http://schemas.microsoft.com/office/drawing/2010/main">
                                <a:noFill/>
                              </a14:hiddenFill>
                            </a:ext>
                          </a:extLst>
                        </wps:spPr>
                        <wps:bodyPr/>
                      </wps:wsp>
                      <wps:wsp>
                        <wps:cNvPr id="19" name="Text Box 6"/>
                        <wps:cNvSpPr txBox="1">
                          <a:spLocks noChangeArrowheads="1"/>
                        </wps:cNvSpPr>
                        <wps:spPr bwMode="auto">
                          <a:xfrm>
                            <a:off x="0" y="0"/>
                            <a:ext cx="5057140" cy="236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A8982" w14:textId="38E06CDF" w:rsidR="00C41866" w:rsidRDefault="00401539" w:rsidP="00C41866">
                              <w:pPr>
                                <w:jc w:val="right"/>
                                <w:rPr>
                                  <w:rFonts w:ascii="Arial" w:hAnsi="Arial" w:cs="Arial"/>
                                  <w:b/>
                                  <w:sz w:val="52"/>
                                  <w:szCs w:val="56"/>
                                </w:rPr>
                              </w:pPr>
                              <w:r w:rsidRPr="00401539">
                                <w:rPr>
                                  <w:rFonts w:ascii="Arial" w:hAnsi="Arial" w:cs="Arial"/>
                                  <w:b/>
                                  <w:sz w:val="52"/>
                                  <w:szCs w:val="56"/>
                                </w:rPr>
                                <w:t>Use of the rule of law legal instruments in the face of mounting dissensus at a national leve</w:t>
                              </w:r>
                              <w:r w:rsidR="00740756">
                                <w:rPr>
                                  <w:rFonts w:ascii="Arial" w:hAnsi="Arial" w:cs="Arial"/>
                                  <w:b/>
                                  <w:sz w:val="52"/>
                                  <w:szCs w:val="56"/>
                                </w:rPr>
                                <w:t>l</w:t>
                              </w:r>
                            </w:p>
                            <w:p w14:paraId="14BD6787" w14:textId="6958E29F" w:rsidR="00AD3D7D" w:rsidRPr="00937722" w:rsidRDefault="001E325D" w:rsidP="00937722">
                              <w:pPr>
                                <w:spacing w:before="120"/>
                                <w:jc w:val="right"/>
                                <w:rPr>
                                  <w:rFonts w:ascii="Arial" w:hAnsi="Arial" w:cs="Arial"/>
                                  <w:b/>
                                  <w:sz w:val="52"/>
                                  <w:szCs w:val="56"/>
                                  <w:lang w:val="de-DE"/>
                                </w:rPr>
                              </w:pPr>
                              <w:r>
                                <w:rPr>
                                  <w:rFonts w:ascii="Arial" w:hAnsi="Arial" w:cs="Arial"/>
                                  <w:b/>
                                  <w:sz w:val="52"/>
                                  <w:szCs w:val="56"/>
                                  <w:lang w:val="de-DE"/>
                                </w:rPr>
                                <w:t>Hungary</w:t>
                              </w:r>
                            </w:p>
                          </w:txbxContent>
                        </wps:txbx>
                        <wps:bodyPr rot="0" vert="horz" wrap="square" lIns="91440" tIns="45720" rIns="91440" bIns="45720" anchor="t" anchorCtr="0" upright="1">
                          <a:noAutofit/>
                        </wps:bodyPr>
                      </wps:wsp>
                      <wps:wsp>
                        <wps:cNvPr id="20" name="Text Box 7"/>
                        <wps:cNvSpPr txBox="1">
                          <a:spLocks noChangeArrowheads="1"/>
                        </wps:cNvSpPr>
                        <wps:spPr bwMode="auto">
                          <a:xfrm>
                            <a:off x="174927" y="1816099"/>
                            <a:ext cx="4884779" cy="1133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9FAE5" w14:textId="30B51BE0" w:rsidR="00C41866" w:rsidRPr="00183C02" w:rsidRDefault="0055056D" w:rsidP="00C41866">
                              <w:pPr>
                                <w:jc w:val="right"/>
                                <w:rPr>
                                  <w:rFonts w:ascii="Arial" w:hAnsi="Arial" w:cs="Arial"/>
                                  <w:b/>
                                  <w:i/>
                                  <w:sz w:val="36"/>
                                  <w:szCs w:val="40"/>
                                </w:rPr>
                              </w:pPr>
                              <w:r>
                                <w:rPr>
                                  <w:rFonts w:ascii="Arial" w:hAnsi="Arial" w:cs="Arial"/>
                                  <w:b/>
                                  <w:i/>
                                  <w:sz w:val="36"/>
                                  <w:szCs w:val="40"/>
                                </w:rPr>
                                <w:t xml:space="preserve">RULE OF LAW </w:t>
                              </w:r>
                              <w:r w:rsidR="00183C02" w:rsidRPr="00183C02">
                                <w:rPr>
                                  <w:rFonts w:ascii="Arial" w:hAnsi="Arial" w:cs="Arial"/>
                                  <w:b/>
                                  <w:i/>
                                  <w:sz w:val="36"/>
                                  <w:szCs w:val="40"/>
                                </w:rPr>
                                <w:t>RESPONDING TO EMERGING DISSENSUS</w:t>
                              </w:r>
                            </w:p>
                          </w:txbxContent>
                        </wps:txbx>
                        <wps:bodyPr rot="0" vert="horz" wrap="square" lIns="91440" tIns="45720" rIns="91440" bIns="45720" anchor="t" anchorCtr="0" upright="1">
                          <a:noAutofit/>
                        </wps:bodyPr>
                      </wps:wsp>
                      <wps:wsp>
                        <wps:cNvPr id="24" name="Text Box 7"/>
                        <wps:cNvSpPr txBox="1">
                          <a:spLocks noChangeArrowheads="1"/>
                        </wps:cNvSpPr>
                        <wps:spPr bwMode="auto">
                          <a:xfrm>
                            <a:off x="166977" y="3069204"/>
                            <a:ext cx="4884779" cy="52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47EB5" w14:textId="32494FDD" w:rsidR="00C41866" w:rsidRPr="006D3D57" w:rsidRDefault="00864AF5" w:rsidP="00C41866">
                              <w:pPr>
                                <w:jc w:val="right"/>
                                <w:rPr>
                                  <w:rFonts w:ascii="Arial" w:hAnsi="Arial" w:cs="Arial"/>
                                  <w:i/>
                                </w:rPr>
                              </w:pPr>
                              <w:r w:rsidRPr="00864AF5">
                                <w:rPr>
                                  <w:rFonts w:ascii="Arial" w:hAnsi="Arial" w:cs="Arial"/>
                                  <w:i/>
                                </w:rPr>
                                <w:t>Project N°101061621</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FC9B65E" id="Group 25" o:spid="_x0000_s1026" style="position:absolute;left:0;text-align:left;margin-left:5.5pt;margin-top:6pt;width:527.45pt;height:282.8pt;z-index:251658243;mso-width-relative:margin" coordsize="53194,3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">
                <v:line id="Straight Connector 5" o:spid="_x0000_s1027" style="position:absolute;flip:y;visibility:visible;mso-wrap-style:square" from="53194,397" to="53194,28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" strokecolor="#7ab800 [3214]" strokeweight="3pt"/>
                <v:shapetype id="_x0000_t202" coordsize="21600,21600" o:spt="202" path="m,l,21600r21600,l21600,xe">
                  <v:stroke joinstyle="miter"/>
                  <v:path gradientshapeok="t" o:connecttype="rect"/>
                </v:shapetype>
                <v:shape id="Text Box 6" o:spid="_x0000_s1028" type="#_x0000_t202" style="position:absolute;width:50571;height:2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2A2A8982" w14:textId="38E06CDF" w:rsidR="00C41866" w:rsidRDefault="00401539" w:rsidP="00C41866">
                        <w:pPr>
                          <w:jc w:val="right"/>
                          <w:rPr>
                            <w:rFonts w:ascii="Arial" w:hAnsi="Arial" w:cs="Arial"/>
                            <w:b/>
                            <w:sz w:val="52"/>
                            <w:szCs w:val="56"/>
                          </w:rPr>
                        </w:pPr>
                        <w:r w:rsidRPr="00401539">
                          <w:rPr>
                            <w:rFonts w:ascii="Arial" w:hAnsi="Arial" w:cs="Arial"/>
                            <w:b/>
                            <w:sz w:val="52"/>
                            <w:szCs w:val="56"/>
                          </w:rPr>
                          <w:t>Use of the rule of law legal instruments in the face of mounting dissensus at a national leve</w:t>
                        </w:r>
                        <w:r w:rsidR="00740756">
                          <w:rPr>
                            <w:rFonts w:ascii="Arial" w:hAnsi="Arial" w:cs="Arial"/>
                            <w:b/>
                            <w:sz w:val="52"/>
                            <w:szCs w:val="56"/>
                          </w:rPr>
                          <w:t>l</w:t>
                        </w:r>
                      </w:p>
                      <w:p w14:paraId="14BD6787" w14:textId="6958E29F" w:rsidR="00AD3D7D" w:rsidRPr="00937722" w:rsidRDefault="001E325D" w:rsidP="00937722">
                        <w:pPr>
                          <w:spacing w:before="120"/>
                          <w:jc w:val="right"/>
                          <w:rPr>
                            <w:rFonts w:ascii="Arial" w:hAnsi="Arial" w:cs="Arial"/>
                            <w:b/>
                            <w:sz w:val="52"/>
                            <w:szCs w:val="56"/>
                            <w:lang w:val="de-DE"/>
                          </w:rPr>
                        </w:pPr>
                        <w:r>
                          <w:rPr>
                            <w:rFonts w:ascii="Arial" w:hAnsi="Arial" w:cs="Arial"/>
                            <w:b/>
                            <w:sz w:val="52"/>
                            <w:szCs w:val="56"/>
                            <w:lang w:val="de-DE"/>
                          </w:rPr>
                          <w:t>Hungary</w:t>
                        </w:r>
                      </w:p>
                    </w:txbxContent>
                  </v:textbox>
                </v:shape>
                <v:shape id="Text Box 7" o:spid="_x0000_s1029" type="#_x0000_t202" style="position:absolute;left:1749;top:18160;width:48848;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3CE9FAE5" w14:textId="30B51BE0" w:rsidR="00C41866" w:rsidRPr="00183C02" w:rsidRDefault="0055056D" w:rsidP="00C41866">
                        <w:pPr>
                          <w:jc w:val="right"/>
                          <w:rPr>
                            <w:rFonts w:ascii="Arial" w:hAnsi="Arial" w:cs="Arial"/>
                            <w:b/>
                            <w:i/>
                            <w:sz w:val="36"/>
                            <w:szCs w:val="40"/>
                          </w:rPr>
                        </w:pPr>
                        <w:r>
                          <w:rPr>
                            <w:rFonts w:ascii="Arial" w:hAnsi="Arial" w:cs="Arial"/>
                            <w:b/>
                            <w:i/>
                            <w:sz w:val="36"/>
                            <w:szCs w:val="40"/>
                          </w:rPr>
                          <w:t xml:space="preserve">RULE OF LAW </w:t>
                        </w:r>
                        <w:r w:rsidR="00183C02" w:rsidRPr="00183C02">
                          <w:rPr>
                            <w:rFonts w:ascii="Arial" w:hAnsi="Arial" w:cs="Arial"/>
                            <w:b/>
                            <w:i/>
                            <w:sz w:val="36"/>
                            <w:szCs w:val="40"/>
                          </w:rPr>
                          <w:t>RESPONDING TO EMERGING DISSENSUS</w:t>
                        </w:r>
                      </w:p>
                    </w:txbxContent>
                  </v:textbox>
                </v:shape>
                <v:shape id="Text Box 7" o:spid="_x0000_s1030" type="#_x0000_t202" style="position:absolute;left:1669;top:30692;width:48848;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4247EB5" w14:textId="32494FDD" w:rsidR="00C41866" w:rsidRPr="006D3D57" w:rsidRDefault="00864AF5" w:rsidP="00C41866">
                        <w:pPr>
                          <w:jc w:val="right"/>
                          <w:rPr>
                            <w:rFonts w:ascii="Arial" w:hAnsi="Arial" w:cs="Arial"/>
                            <w:i/>
                          </w:rPr>
                        </w:pPr>
                        <w:r w:rsidRPr="00864AF5">
                          <w:rPr>
                            <w:rFonts w:ascii="Arial" w:hAnsi="Arial" w:cs="Arial"/>
                            <w:i/>
                          </w:rPr>
                          <w:t>Project N°101061621</w:t>
                        </w:r>
                      </w:p>
                    </w:txbxContent>
                  </v:textbox>
                </v:shape>
              </v:group>
            </w:pict>
          </mc:Fallback>
        </mc:AlternateContent>
      </w:r>
      <w:r w:rsidRPr="0055056D">
        <w:rPr>
          <w:rFonts w:eastAsia="Calibri" w:cs="Arial"/>
          <w:noProof/>
          <w:lang w:eastAsia="en-US"/>
        </w:rPr>
        <w:drawing>
          <wp:anchor distT="0" distB="0" distL="114300" distR="114300" simplePos="0" relativeHeight="251658242" behindDoc="1" locked="1" layoutInCell="1" allowOverlap="1" wp14:anchorId="621BC793" wp14:editId="5EC44378">
            <wp:simplePos x="0" y="0"/>
            <wp:positionH relativeFrom="column">
              <wp:posOffset>-76200</wp:posOffset>
            </wp:positionH>
            <wp:positionV relativeFrom="page">
              <wp:posOffset>3776980</wp:posOffset>
            </wp:positionV>
            <wp:extent cx="6858000" cy="5349240"/>
            <wp:effectExtent l="0" t="0" r="0" b="3810"/>
            <wp:wrapNone/>
            <wp:docPr id="16" name="Picture 16" descr="Hexagon - enviro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xagon - environme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0" cy="534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56D">
        <w:rPr>
          <w:rFonts w:eastAsia="Calibri" w:cs="Arial"/>
          <w:noProof/>
          <w:lang w:eastAsia="en-US"/>
        </w:rPr>
        <w:drawing>
          <wp:anchor distT="0" distB="0" distL="114300" distR="114300" simplePos="0" relativeHeight="251658241" behindDoc="0" locked="1" layoutInCell="1" allowOverlap="1" wp14:anchorId="2A5D301B" wp14:editId="540B49A8">
            <wp:simplePos x="0" y="0"/>
            <wp:positionH relativeFrom="column">
              <wp:posOffset>5307330</wp:posOffset>
            </wp:positionH>
            <wp:positionV relativeFrom="page">
              <wp:posOffset>8688070</wp:posOffset>
            </wp:positionV>
            <wp:extent cx="1486800" cy="1483200"/>
            <wp:effectExtent l="19050" t="19050" r="18415" b="22225"/>
            <wp:wrapNone/>
            <wp:docPr id="14" name="Picture 14" descr="LAST-LOGO- with law-policy-i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ST-LOGO- with law-policy-in-whit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6800" cy="1483200"/>
                    </a:xfrm>
                    <a:prstGeom prst="rect">
                      <a:avLst/>
                    </a:prstGeom>
                    <a:noFill/>
                    <a:ln w="6350">
                      <a:solidFill>
                        <a:srgbClr val="0D0D0D"/>
                      </a:solidFill>
                      <a:miter lim="800000"/>
                      <a:headEnd/>
                      <a:tailEnd/>
                    </a:ln>
                  </pic:spPr>
                </pic:pic>
              </a:graphicData>
            </a:graphic>
            <wp14:sizeRelH relativeFrom="page">
              <wp14:pctWidth>0</wp14:pctWidth>
            </wp14:sizeRelH>
            <wp14:sizeRelV relativeFrom="page">
              <wp14:pctHeight>0</wp14:pctHeight>
            </wp14:sizeRelV>
          </wp:anchor>
        </w:drawing>
      </w:r>
      <w:r w:rsidRPr="0055056D">
        <w:rPr>
          <w:rFonts w:eastAsia="Calibri" w:cs="Arial"/>
          <w:noProof/>
          <w:lang w:eastAsia="en-US"/>
        </w:rPr>
        <mc:AlternateContent>
          <mc:Choice Requires="wps">
            <w:drawing>
              <wp:anchor distT="0" distB="0" distL="114300" distR="114300" simplePos="0" relativeHeight="251658240" behindDoc="0" locked="1" layoutInCell="1" allowOverlap="1" wp14:anchorId="5015A7AB" wp14:editId="0312728E">
                <wp:simplePos x="0" y="0"/>
                <wp:positionH relativeFrom="column">
                  <wp:posOffset>-152400</wp:posOffset>
                </wp:positionH>
                <wp:positionV relativeFrom="page">
                  <wp:posOffset>9829800</wp:posOffset>
                </wp:positionV>
                <wp:extent cx="2057400" cy="278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53F2" w14:textId="1335C4A2" w:rsidR="00C41866" w:rsidRPr="001E325D" w:rsidRDefault="001E325D" w:rsidP="00C41866">
                            <w:pPr>
                              <w:ind w:right="-126"/>
                              <w:rPr>
                                <w:rFonts w:ascii="Arial" w:hAnsi="Arial" w:cs="Arial"/>
                                <w:lang w:val="en-US"/>
                              </w:rPr>
                            </w:pPr>
                            <w:r>
                              <w:rPr>
                                <w:rFonts w:ascii="Arial" w:hAnsi="Arial" w:cs="Arial"/>
                                <w:lang w:val="en-US"/>
                              </w:rPr>
                              <w:t>April 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15A7AB" id="Text Box 4" o:spid="_x0000_s1031" type="#_x0000_t202" style="position:absolute;left:0;text-align:left;margin-left:-12pt;margin-top:774pt;width:162pt;height:2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" stroked="f">
                <v:textbox style="mso-fit-shape-to-text:t">
                  <w:txbxContent>
                    <w:p w14:paraId="293553F2" w14:textId="1335C4A2" w:rsidR="00C41866" w:rsidRPr="001E325D" w:rsidRDefault="001E325D" w:rsidP="00C41866">
                      <w:pPr>
                        <w:ind w:right="-126"/>
                        <w:rPr>
                          <w:rFonts w:ascii="Arial" w:hAnsi="Arial" w:cs="Arial"/>
                          <w:lang w:val="en-US"/>
                        </w:rPr>
                      </w:pPr>
                      <w:r>
                        <w:rPr>
                          <w:rFonts w:ascii="Arial" w:hAnsi="Arial" w:cs="Arial"/>
                          <w:lang w:val="en-US"/>
                        </w:rPr>
                        <w:t>April 2023</w:t>
                      </w:r>
                    </w:p>
                  </w:txbxContent>
                </v:textbox>
                <w10:wrap anchory="page"/>
                <w10:anchorlock/>
              </v:shape>
            </w:pict>
          </mc:Fallback>
        </mc:AlternateContent>
      </w:r>
    </w:p>
    <w:p w14:paraId="65D7674E" w14:textId="77777777" w:rsidR="00C41866" w:rsidRPr="0055056D" w:rsidRDefault="00C41866" w:rsidP="00C41866">
      <w:pPr>
        <w:rPr>
          <w:rFonts w:ascii="Arial" w:hAnsi="Arial" w:cs="Arial"/>
          <w:b/>
          <w:u w:val="single"/>
        </w:rPr>
      </w:pPr>
    </w:p>
    <w:p w14:paraId="13A317F2" w14:textId="77777777" w:rsidR="00C41866" w:rsidRPr="0055056D" w:rsidRDefault="00C41866" w:rsidP="00C41866">
      <w:pPr>
        <w:pStyle w:val="Testodelblocco"/>
        <w:rPr>
          <w:rFonts w:ascii="Arial" w:hAnsi="Arial" w:cs="Arial"/>
          <w:sz w:val="22"/>
          <w:lang w:val="en-GB"/>
        </w:rPr>
        <w:sectPr w:rsidR="00C41866" w:rsidRPr="0055056D">
          <w:type w:val="continuous"/>
          <w:pgSz w:w="11906" w:h="16838" w:code="9"/>
          <w:pgMar w:top="1418" w:right="1418" w:bottom="1418" w:left="1418" w:header="709" w:footer="709" w:gutter="0"/>
          <w:cols w:space="708"/>
          <w:docGrid w:linePitch="360"/>
        </w:sectPr>
      </w:pPr>
    </w:p>
    <w:tbl>
      <w:tblPr>
        <w:tblpPr w:leftFromText="181" w:rightFromText="181" w:vertAnchor="page" w:tblpY="12180"/>
        <w:tblOverlap w:val="never"/>
        <w:tblW w:w="0" w:type="auto"/>
        <w:tblBorders>
          <w:top w:val="single" w:sz="12" w:space="0" w:color="EAF1DD" w:themeColor="text2"/>
          <w:left w:val="single" w:sz="12" w:space="0" w:color="EAF1DD" w:themeColor="text2"/>
          <w:bottom w:val="single" w:sz="12" w:space="0" w:color="EAF1DD" w:themeColor="text2"/>
          <w:right w:val="single" w:sz="12" w:space="0" w:color="EAF1DD" w:themeColor="text2"/>
          <w:insideH w:val="single" w:sz="12" w:space="0" w:color="EAF1DD" w:themeColor="text2"/>
          <w:insideV w:val="single" w:sz="12" w:space="0" w:color="EAF1DD" w:themeColor="text2"/>
        </w:tblBorders>
        <w:tblLayout w:type="fixed"/>
        <w:tblLook w:val="01E0" w:firstRow="1" w:lastRow="1" w:firstColumn="1" w:lastColumn="1" w:noHBand="0" w:noVBand="0"/>
      </w:tblPr>
      <w:tblGrid>
        <w:gridCol w:w="9286"/>
      </w:tblGrid>
      <w:tr w:rsidR="00C41866" w:rsidRPr="0055056D" w14:paraId="533B2183" w14:textId="77777777" w:rsidTr="000C63E0">
        <w:tc>
          <w:tcPr>
            <w:tcW w:w="9286" w:type="dxa"/>
            <w:vAlign w:val="bottom"/>
          </w:tcPr>
          <w:p w14:paraId="02F688E0" w14:textId="77777777" w:rsidR="000C63E0" w:rsidRPr="0055056D" w:rsidRDefault="000C63E0">
            <w:pPr>
              <w:pStyle w:val="MBT"/>
              <w:rPr>
                <w:rFonts w:cs="Arial"/>
              </w:rPr>
            </w:pPr>
          </w:p>
          <w:p w14:paraId="1F7261B7" w14:textId="77777777" w:rsidR="0055056D" w:rsidRPr="0055056D" w:rsidRDefault="0055056D" w:rsidP="0055056D">
            <w:pPr>
              <w:pStyle w:val="MBT"/>
              <w:rPr>
                <w:rFonts w:cs="Arial"/>
              </w:rPr>
            </w:pPr>
            <w:r w:rsidRPr="0055056D">
              <w:rPr>
                <w:rFonts w:cs="Arial"/>
              </w:rPr>
              <w:t xml:space="preserve">This study/report has been prepared by Milieu SRL  under Horizon RED SPINEL Project  N°101061621. The main authors of the study/report are Katalin </w:t>
            </w:r>
            <w:proofErr w:type="spellStart"/>
            <w:r w:rsidRPr="0055056D">
              <w:rPr>
                <w:rFonts w:cs="Arial"/>
              </w:rPr>
              <w:t>Dobiás</w:t>
            </w:r>
            <w:proofErr w:type="spellEnd"/>
            <w:r w:rsidRPr="0055056D">
              <w:rPr>
                <w:rFonts w:cs="Arial"/>
              </w:rPr>
              <w:t xml:space="preserve"> and </w:t>
            </w:r>
            <w:proofErr w:type="spellStart"/>
            <w:r w:rsidRPr="0055056D">
              <w:rPr>
                <w:rFonts w:cs="Arial"/>
              </w:rPr>
              <w:t>Ágnes</w:t>
            </w:r>
            <w:proofErr w:type="spellEnd"/>
            <w:r w:rsidRPr="0055056D">
              <w:rPr>
                <w:rFonts w:cs="Arial"/>
              </w:rPr>
              <w:t xml:space="preserve"> </w:t>
            </w:r>
            <w:proofErr w:type="spellStart"/>
            <w:r w:rsidRPr="0055056D">
              <w:rPr>
                <w:rFonts w:cs="Arial"/>
              </w:rPr>
              <w:t>Csonta</w:t>
            </w:r>
            <w:proofErr w:type="spellEnd"/>
            <w:r w:rsidRPr="0055056D">
              <w:rPr>
                <w:rFonts w:cs="Arial"/>
              </w:rPr>
              <w:t>.</w:t>
            </w:r>
          </w:p>
          <w:p w14:paraId="021B7589" w14:textId="77777777" w:rsidR="0055056D" w:rsidRPr="0055056D" w:rsidRDefault="0055056D" w:rsidP="0055056D">
            <w:pPr>
              <w:pStyle w:val="MBT"/>
              <w:rPr>
                <w:rFonts w:cs="Arial"/>
              </w:rPr>
            </w:pPr>
            <w:r w:rsidRPr="0055056D">
              <w:rPr>
                <w:rFonts w:cs="Arial"/>
              </w:rPr>
              <w:t xml:space="preserve">The views expressed herein are those of the consultants alone and do not necessarily represent the official views of the European Commission. </w:t>
            </w:r>
          </w:p>
          <w:p w14:paraId="2820EC75" w14:textId="1592924D" w:rsidR="00C41866" w:rsidRPr="0055056D" w:rsidRDefault="00C41866" w:rsidP="004E20ED">
            <w:pPr>
              <w:pStyle w:val="MBT"/>
              <w:rPr>
                <w:rFonts w:cs="Arial"/>
                <w:lang w:val="fr-BE"/>
              </w:rPr>
            </w:pPr>
            <w:r w:rsidRPr="0055056D">
              <w:rPr>
                <w:rFonts w:cs="Arial"/>
                <w:b/>
                <w:lang w:val="fr-BE"/>
              </w:rPr>
              <w:t>Milieu Consulting SRL</w:t>
            </w:r>
            <w:r w:rsidRPr="0055056D">
              <w:rPr>
                <w:rFonts w:cs="Arial"/>
                <w:lang w:val="fr-BE"/>
              </w:rPr>
              <w:t xml:space="preserve">, </w:t>
            </w:r>
            <w:proofErr w:type="spellStart"/>
            <w:r w:rsidRPr="0055056D">
              <w:rPr>
                <w:rFonts w:cs="Arial"/>
                <w:lang w:val="fr-BE"/>
              </w:rPr>
              <w:t>Chaussee</w:t>
            </w:r>
            <w:proofErr w:type="spellEnd"/>
            <w:r w:rsidRPr="0055056D">
              <w:rPr>
                <w:rFonts w:cs="Arial"/>
                <w:lang w:val="fr-BE"/>
              </w:rPr>
              <w:t xml:space="preserve"> de Charleroi 112, B-1060 Brussels, tel</w:t>
            </w:r>
            <w:proofErr w:type="gramStart"/>
            <w:r w:rsidRPr="0055056D">
              <w:rPr>
                <w:rFonts w:cs="Arial"/>
                <w:lang w:val="fr-BE"/>
              </w:rPr>
              <w:t>.:</w:t>
            </w:r>
            <w:proofErr w:type="gramEnd"/>
            <w:r w:rsidRPr="0055056D">
              <w:rPr>
                <w:rFonts w:cs="Arial"/>
                <w:lang w:val="fr-BE"/>
              </w:rPr>
              <w:t xml:space="preserve"> +32 2 506 1000; e-mail:  </w:t>
            </w:r>
            <w:hyperlink r:id="rId14" w:history="1">
              <w:r w:rsidR="005C11C8" w:rsidRPr="0055056D">
                <w:rPr>
                  <w:rStyle w:val="Collegamentoipertestuale"/>
                  <w:lang w:val="fr-BE"/>
                </w:rPr>
                <w:t>katalin.dobias</w:t>
              </w:r>
              <w:r w:rsidR="005C11C8" w:rsidRPr="0055056D">
                <w:rPr>
                  <w:rStyle w:val="Collegamentoipertestuale"/>
                  <w:rFonts w:cs="Arial"/>
                  <w:lang w:val="fr-BE"/>
                </w:rPr>
                <w:t>@milieu.be</w:t>
              </w:r>
            </w:hyperlink>
            <w:r w:rsidRPr="0055056D">
              <w:rPr>
                <w:rFonts w:cs="Arial"/>
                <w:lang w:val="fr-BE"/>
              </w:rPr>
              <w:t xml:space="preserve">; web </w:t>
            </w:r>
            <w:proofErr w:type="spellStart"/>
            <w:r w:rsidRPr="0055056D">
              <w:rPr>
                <w:rFonts w:cs="Arial"/>
                <w:lang w:val="fr-BE"/>
              </w:rPr>
              <w:t>address</w:t>
            </w:r>
            <w:proofErr w:type="spellEnd"/>
            <w:r w:rsidRPr="0055056D">
              <w:rPr>
                <w:rFonts w:cs="Arial"/>
                <w:lang w:val="fr-BE"/>
              </w:rPr>
              <w:t xml:space="preserve">: </w:t>
            </w:r>
            <w:hyperlink r:id="rId15" w:history="1">
              <w:r w:rsidRPr="0055056D">
                <w:rPr>
                  <w:rStyle w:val="Collegamentoipertestuale"/>
                  <w:rFonts w:cs="Arial"/>
                  <w:lang w:val="fr-BE"/>
                </w:rPr>
                <w:t>www.milieu.be</w:t>
              </w:r>
            </w:hyperlink>
            <w:r w:rsidRPr="0055056D">
              <w:rPr>
                <w:rFonts w:cs="Arial"/>
                <w:lang w:val="fr-BE"/>
              </w:rPr>
              <w:t xml:space="preserve">. </w:t>
            </w:r>
          </w:p>
          <w:p w14:paraId="707BAA24" w14:textId="46EDB40B" w:rsidR="000C63E0" w:rsidRPr="0055056D" w:rsidRDefault="000C63E0" w:rsidP="004E20ED">
            <w:pPr>
              <w:pStyle w:val="MBT"/>
              <w:rPr>
                <w:rFonts w:cs="Arial"/>
                <w:lang w:val="fr-BE"/>
              </w:rPr>
            </w:pPr>
          </w:p>
        </w:tc>
      </w:tr>
    </w:tbl>
    <w:p w14:paraId="1E8170F0" w14:textId="77777777" w:rsidR="00C41866" w:rsidRPr="0055056D" w:rsidRDefault="00C41866" w:rsidP="00C41866">
      <w:pPr>
        <w:rPr>
          <w:rFonts w:ascii="Arial" w:hAnsi="Arial" w:cs="Arial"/>
          <w:b/>
          <w:i/>
          <w:sz w:val="22"/>
          <w:lang w:val="fr-BE"/>
        </w:rPr>
      </w:pPr>
      <w:r w:rsidRPr="0055056D">
        <w:rPr>
          <w:rFonts w:ascii="Arial" w:hAnsi="Arial" w:cs="Arial"/>
          <w:b/>
          <w:u w:val="single"/>
          <w:lang w:val="fr-BE"/>
        </w:rPr>
        <w:br w:type="page"/>
      </w:r>
    </w:p>
    <w:tbl>
      <w:tblPr>
        <w:tblStyle w:val="Grigliatabella"/>
        <w:tblW w:w="5000" w:type="pct"/>
        <w:tblBorders>
          <w:top w:val="single" w:sz="12" w:space="0" w:color="EAF1DD" w:themeColor="text2"/>
          <w:left w:val="single" w:sz="12" w:space="0" w:color="EAF1DD" w:themeColor="text2"/>
          <w:bottom w:val="single" w:sz="12" w:space="0" w:color="EAF1DD" w:themeColor="text2"/>
          <w:right w:val="single" w:sz="12" w:space="0" w:color="EAF1DD" w:themeColor="text2"/>
          <w:insideH w:val="single" w:sz="12" w:space="0" w:color="EAF1DD" w:themeColor="text2"/>
          <w:insideV w:val="single" w:sz="12" w:space="0" w:color="EAF1DD" w:themeColor="text2"/>
        </w:tblBorders>
        <w:tblCellMar>
          <w:top w:w="57" w:type="dxa"/>
          <w:bottom w:w="57" w:type="dxa"/>
        </w:tblCellMar>
        <w:tblLook w:val="04A0" w:firstRow="1" w:lastRow="0" w:firstColumn="1" w:lastColumn="0" w:noHBand="0" w:noVBand="1"/>
      </w:tblPr>
      <w:tblGrid>
        <w:gridCol w:w="9607"/>
      </w:tblGrid>
      <w:tr w:rsidR="00C41866" w:rsidRPr="0055056D" w14:paraId="4BF5F42D" w14:textId="77777777" w:rsidTr="000C63E0">
        <w:tc>
          <w:tcPr>
            <w:tcW w:w="5000" w:type="pct"/>
            <w:shd w:val="clear" w:color="auto" w:fill="auto"/>
            <w:vAlign w:val="center"/>
          </w:tcPr>
          <w:p w14:paraId="66D67290" w14:textId="67270FA8" w:rsidR="00C41866" w:rsidRPr="0055056D" w:rsidRDefault="006D7B0E" w:rsidP="006D7B0E">
            <w:pPr>
              <w:pStyle w:val="MBT"/>
              <w:jc w:val="center"/>
              <w:rPr>
                <w:b/>
                <w:i/>
                <w:iCs/>
                <w:color w:val="7AB800" w:themeColor="background2"/>
                <w:sz w:val="32"/>
                <w:szCs w:val="32"/>
              </w:rPr>
            </w:pPr>
            <w:r w:rsidRPr="0055056D">
              <w:rPr>
                <w:b/>
                <w:i/>
                <w:iCs/>
                <w:color w:val="7AB800" w:themeColor="background2"/>
                <w:sz w:val="32"/>
                <w:szCs w:val="32"/>
              </w:rPr>
              <w:lastRenderedPageBreak/>
              <w:t>Use of the rule of law legal instruments in the face of mounting dissensus at a national level</w:t>
            </w:r>
          </w:p>
        </w:tc>
      </w:tr>
    </w:tbl>
    <w:p w14:paraId="35A53179" w14:textId="77777777" w:rsidR="00C41866" w:rsidRPr="0055056D" w:rsidRDefault="00C41866" w:rsidP="00C41866">
      <w:pPr>
        <w:rPr>
          <w:b/>
          <w:sz w:val="22"/>
          <w:szCs w:val="22"/>
        </w:rPr>
      </w:pPr>
    </w:p>
    <w:p w14:paraId="1D67C19B" w14:textId="77777777" w:rsidR="00C41866" w:rsidRPr="0055056D" w:rsidRDefault="00C41866" w:rsidP="00C41866">
      <w:pPr>
        <w:rPr>
          <w:b/>
          <w:sz w:val="22"/>
          <w:szCs w:val="22"/>
        </w:rPr>
      </w:pPr>
    </w:p>
    <w:p w14:paraId="307B1833" w14:textId="2C172D87" w:rsidR="00C41866" w:rsidRPr="0055056D" w:rsidRDefault="001E4F4D" w:rsidP="00657A35">
      <w:pPr>
        <w:pStyle w:val="MH1nonumb"/>
        <w:pageBreakBefore w:val="0"/>
        <w:outlineLvl w:val="9"/>
      </w:pPr>
      <w:r w:rsidRPr="0055056D">
        <w:t>Table of contents</w:t>
      </w:r>
    </w:p>
    <w:p w14:paraId="545B04CF" w14:textId="4A131AA8" w:rsidR="0055056D" w:rsidRPr="0055056D" w:rsidRDefault="00E254D1">
      <w:pPr>
        <w:pStyle w:val="Sommario1"/>
        <w:rPr>
          <w:rFonts w:asciiTheme="minorHAnsi" w:eastAsiaTheme="minorEastAsia" w:hAnsiTheme="minorHAnsi" w:cstheme="minorBidi"/>
          <w:b w:val="0"/>
          <w:bCs w:val="0"/>
          <w:sz w:val="22"/>
          <w:lang w:eastAsia="en-GB"/>
        </w:rPr>
      </w:pPr>
      <w:r w:rsidRPr="0055056D">
        <w:rPr>
          <w:rFonts w:ascii="Century Gothic" w:hAnsi="Century Gothic"/>
          <w:b w:val="0"/>
          <w:bCs w:val="0"/>
          <w:caps/>
          <w:szCs w:val="20"/>
        </w:rPr>
        <w:fldChar w:fldCharType="begin"/>
      </w:r>
      <w:r w:rsidRPr="0055056D">
        <w:rPr>
          <w:rFonts w:ascii="Century Gothic" w:hAnsi="Century Gothic"/>
          <w:b w:val="0"/>
          <w:bCs w:val="0"/>
          <w:caps/>
          <w:szCs w:val="20"/>
        </w:rPr>
        <w:instrText xml:space="preserve"> TOC \o "1-1" \h \z \u </w:instrText>
      </w:r>
      <w:r w:rsidRPr="0055056D">
        <w:rPr>
          <w:rFonts w:ascii="Century Gothic" w:hAnsi="Century Gothic"/>
          <w:b w:val="0"/>
          <w:bCs w:val="0"/>
          <w:caps/>
          <w:szCs w:val="20"/>
        </w:rPr>
        <w:fldChar w:fldCharType="separate"/>
      </w:r>
      <w:hyperlink w:anchor="_Toc134020193" w:history="1">
        <w:r w:rsidR="0055056D" w:rsidRPr="0055056D">
          <w:rPr>
            <w:rStyle w:val="Collegamentoipertestuale"/>
          </w:rPr>
          <w:t>Abbreviations used</w:t>
        </w:r>
        <w:r w:rsidR="0055056D" w:rsidRPr="0055056D">
          <w:rPr>
            <w:webHidden/>
          </w:rPr>
          <w:tab/>
        </w:r>
        <w:r w:rsidR="0055056D" w:rsidRPr="0055056D">
          <w:rPr>
            <w:webHidden/>
          </w:rPr>
          <w:fldChar w:fldCharType="begin"/>
        </w:r>
        <w:r w:rsidR="0055056D" w:rsidRPr="0055056D">
          <w:rPr>
            <w:webHidden/>
          </w:rPr>
          <w:instrText xml:space="preserve"> PAGEREF _Toc134020193 \h </w:instrText>
        </w:r>
        <w:r w:rsidR="0055056D" w:rsidRPr="0055056D">
          <w:rPr>
            <w:webHidden/>
          </w:rPr>
        </w:r>
        <w:r w:rsidR="0055056D" w:rsidRPr="0055056D">
          <w:rPr>
            <w:webHidden/>
          </w:rPr>
          <w:fldChar w:fldCharType="separate"/>
        </w:r>
        <w:r w:rsidR="0055056D" w:rsidRPr="0055056D">
          <w:rPr>
            <w:webHidden/>
          </w:rPr>
          <w:t>4</w:t>
        </w:r>
        <w:r w:rsidR="0055056D" w:rsidRPr="0055056D">
          <w:rPr>
            <w:webHidden/>
          </w:rPr>
          <w:fldChar w:fldCharType="end"/>
        </w:r>
      </w:hyperlink>
    </w:p>
    <w:p w14:paraId="42D46A91" w14:textId="7BE0308E" w:rsidR="0055056D" w:rsidRPr="0055056D" w:rsidRDefault="00000000">
      <w:pPr>
        <w:pStyle w:val="Sommario1"/>
        <w:rPr>
          <w:rFonts w:asciiTheme="minorHAnsi" w:eastAsiaTheme="minorEastAsia" w:hAnsiTheme="minorHAnsi" w:cstheme="minorBidi"/>
          <w:b w:val="0"/>
          <w:bCs w:val="0"/>
          <w:sz w:val="22"/>
          <w:lang w:eastAsia="en-GB"/>
        </w:rPr>
      </w:pPr>
      <w:hyperlink w:anchor="_Toc134020194" w:history="1">
        <w:r w:rsidR="0055056D" w:rsidRPr="0055056D">
          <w:rPr>
            <w:rStyle w:val="Collegamentoipertestuale"/>
            <w:lang w:val="en-US"/>
            <w14:scene3d>
              <w14:camera w14:prst="orthographicFront"/>
              <w14:lightRig w14:rig="threePt" w14:dir="t">
                <w14:rot w14:lat="0" w14:lon="0" w14:rev="0"/>
              </w14:lightRig>
            </w14:scene3d>
          </w:rPr>
          <w:t>1.</w:t>
        </w:r>
        <w:r w:rsidR="0055056D" w:rsidRPr="0055056D">
          <w:rPr>
            <w:rFonts w:asciiTheme="minorHAnsi" w:eastAsiaTheme="minorEastAsia" w:hAnsiTheme="minorHAnsi" w:cstheme="minorBidi"/>
            <w:b w:val="0"/>
            <w:bCs w:val="0"/>
            <w:sz w:val="22"/>
            <w:lang w:eastAsia="en-GB"/>
          </w:rPr>
          <w:tab/>
        </w:r>
        <w:r w:rsidR="0055056D" w:rsidRPr="0055056D">
          <w:rPr>
            <w:rStyle w:val="Collegamentoipertestuale"/>
            <w:lang w:val="en-US"/>
          </w:rPr>
          <w:t>Introduction: Rule of Law threats conform dissensus actions</w:t>
        </w:r>
        <w:r w:rsidR="0055056D" w:rsidRPr="0055056D">
          <w:rPr>
            <w:webHidden/>
          </w:rPr>
          <w:tab/>
        </w:r>
        <w:r w:rsidR="0055056D" w:rsidRPr="0055056D">
          <w:rPr>
            <w:webHidden/>
          </w:rPr>
          <w:fldChar w:fldCharType="begin"/>
        </w:r>
        <w:r w:rsidR="0055056D" w:rsidRPr="0055056D">
          <w:rPr>
            <w:webHidden/>
          </w:rPr>
          <w:instrText xml:space="preserve"> PAGEREF _Toc134020194 \h </w:instrText>
        </w:r>
        <w:r w:rsidR="0055056D" w:rsidRPr="0055056D">
          <w:rPr>
            <w:webHidden/>
          </w:rPr>
        </w:r>
        <w:r w:rsidR="0055056D" w:rsidRPr="0055056D">
          <w:rPr>
            <w:webHidden/>
          </w:rPr>
          <w:fldChar w:fldCharType="separate"/>
        </w:r>
        <w:r w:rsidR="0055056D" w:rsidRPr="0055056D">
          <w:rPr>
            <w:webHidden/>
          </w:rPr>
          <w:t>5</w:t>
        </w:r>
        <w:r w:rsidR="0055056D" w:rsidRPr="0055056D">
          <w:rPr>
            <w:webHidden/>
          </w:rPr>
          <w:fldChar w:fldCharType="end"/>
        </w:r>
      </w:hyperlink>
    </w:p>
    <w:p w14:paraId="6A090FB2" w14:textId="32FB1F23" w:rsidR="0055056D" w:rsidRPr="0055056D" w:rsidRDefault="00000000">
      <w:pPr>
        <w:pStyle w:val="Sommario1"/>
        <w:rPr>
          <w:rFonts w:asciiTheme="minorHAnsi" w:eastAsiaTheme="minorEastAsia" w:hAnsiTheme="minorHAnsi" w:cstheme="minorBidi"/>
          <w:b w:val="0"/>
          <w:bCs w:val="0"/>
          <w:sz w:val="22"/>
          <w:lang w:eastAsia="en-GB"/>
        </w:rPr>
      </w:pPr>
      <w:hyperlink w:anchor="_Toc134020195" w:history="1">
        <w:r w:rsidR="0055056D" w:rsidRPr="0055056D">
          <w:rPr>
            <w:rStyle w:val="Collegamentoipertestuale"/>
            <w:lang w:val="en-US"/>
            <w14:scene3d>
              <w14:camera w14:prst="orthographicFront"/>
              <w14:lightRig w14:rig="threePt" w14:dir="t">
                <w14:rot w14:lat="0" w14:lon="0" w14:rev="0"/>
              </w14:lightRig>
            </w14:scene3d>
          </w:rPr>
          <w:t>2.</w:t>
        </w:r>
        <w:r w:rsidR="0055056D" w:rsidRPr="0055056D">
          <w:rPr>
            <w:rFonts w:asciiTheme="minorHAnsi" w:eastAsiaTheme="minorEastAsia" w:hAnsiTheme="minorHAnsi" w:cstheme="minorBidi"/>
            <w:b w:val="0"/>
            <w:bCs w:val="0"/>
            <w:sz w:val="22"/>
            <w:lang w:eastAsia="en-GB"/>
          </w:rPr>
          <w:tab/>
        </w:r>
        <w:r w:rsidR="0055056D" w:rsidRPr="0055056D">
          <w:rPr>
            <w:rStyle w:val="Collegamentoipertestuale"/>
            <w:lang w:val="en-US"/>
          </w:rPr>
          <w:t>The Instruments Provided by Hungarian law</w:t>
        </w:r>
        <w:r w:rsidR="0055056D" w:rsidRPr="0055056D">
          <w:rPr>
            <w:webHidden/>
          </w:rPr>
          <w:tab/>
        </w:r>
        <w:r w:rsidR="0055056D" w:rsidRPr="0055056D">
          <w:rPr>
            <w:webHidden/>
          </w:rPr>
          <w:fldChar w:fldCharType="begin"/>
        </w:r>
        <w:r w:rsidR="0055056D" w:rsidRPr="0055056D">
          <w:rPr>
            <w:webHidden/>
          </w:rPr>
          <w:instrText xml:space="preserve"> PAGEREF _Toc134020195 \h </w:instrText>
        </w:r>
        <w:r w:rsidR="0055056D" w:rsidRPr="0055056D">
          <w:rPr>
            <w:webHidden/>
          </w:rPr>
        </w:r>
        <w:r w:rsidR="0055056D" w:rsidRPr="0055056D">
          <w:rPr>
            <w:webHidden/>
          </w:rPr>
          <w:fldChar w:fldCharType="separate"/>
        </w:r>
        <w:r w:rsidR="0055056D" w:rsidRPr="0055056D">
          <w:rPr>
            <w:webHidden/>
          </w:rPr>
          <w:t>7</w:t>
        </w:r>
        <w:r w:rsidR="0055056D" w:rsidRPr="0055056D">
          <w:rPr>
            <w:webHidden/>
          </w:rPr>
          <w:fldChar w:fldCharType="end"/>
        </w:r>
      </w:hyperlink>
    </w:p>
    <w:p w14:paraId="78AC0364" w14:textId="41495EF6" w:rsidR="0055056D" w:rsidRPr="0055056D" w:rsidRDefault="00000000">
      <w:pPr>
        <w:pStyle w:val="Sommario1"/>
        <w:rPr>
          <w:rFonts w:asciiTheme="minorHAnsi" w:eastAsiaTheme="minorEastAsia" w:hAnsiTheme="minorHAnsi" w:cstheme="minorBidi"/>
          <w:b w:val="0"/>
          <w:bCs w:val="0"/>
          <w:sz w:val="22"/>
          <w:lang w:eastAsia="en-GB"/>
        </w:rPr>
      </w:pPr>
      <w:hyperlink w:anchor="_Toc134020196" w:history="1">
        <w:r w:rsidR="0055056D" w:rsidRPr="0055056D">
          <w:rPr>
            <w:rStyle w:val="Collegamentoipertestuale"/>
            <w:lang w:val="en-US"/>
            <w14:scene3d>
              <w14:camera w14:prst="orthographicFront"/>
              <w14:lightRig w14:rig="threePt" w14:dir="t">
                <w14:rot w14:lat="0" w14:lon="0" w14:rev="0"/>
              </w14:lightRig>
            </w14:scene3d>
          </w:rPr>
          <w:t>3.</w:t>
        </w:r>
        <w:r w:rsidR="0055056D" w:rsidRPr="0055056D">
          <w:rPr>
            <w:rFonts w:asciiTheme="minorHAnsi" w:eastAsiaTheme="minorEastAsia" w:hAnsiTheme="minorHAnsi" w:cstheme="minorBidi"/>
            <w:b w:val="0"/>
            <w:bCs w:val="0"/>
            <w:sz w:val="22"/>
            <w:lang w:eastAsia="en-GB"/>
          </w:rPr>
          <w:tab/>
        </w:r>
        <w:r w:rsidR="0055056D" w:rsidRPr="0055056D">
          <w:rPr>
            <w:rStyle w:val="Collegamentoipertestuale"/>
            <w:lang w:val="en-US"/>
          </w:rPr>
          <w:t>Recent Trends on the implementation of the Rule of Law facing threats from dissension actions</w:t>
        </w:r>
        <w:r w:rsidR="0055056D" w:rsidRPr="0055056D">
          <w:rPr>
            <w:webHidden/>
          </w:rPr>
          <w:tab/>
        </w:r>
        <w:r w:rsidR="0055056D" w:rsidRPr="0055056D">
          <w:rPr>
            <w:webHidden/>
          </w:rPr>
          <w:fldChar w:fldCharType="begin"/>
        </w:r>
        <w:r w:rsidR="0055056D" w:rsidRPr="0055056D">
          <w:rPr>
            <w:webHidden/>
          </w:rPr>
          <w:instrText xml:space="preserve"> PAGEREF _Toc134020196 \h </w:instrText>
        </w:r>
        <w:r w:rsidR="0055056D" w:rsidRPr="0055056D">
          <w:rPr>
            <w:webHidden/>
          </w:rPr>
        </w:r>
        <w:r w:rsidR="0055056D" w:rsidRPr="0055056D">
          <w:rPr>
            <w:webHidden/>
          </w:rPr>
          <w:fldChar w:fldCharType="separate"/>
        </w:r>
        <w:r w:rsidR="0055056D" w:rsidRPr="0055056D">
          <w:rPr>
            <w:webHidden/>
          </w:rPr>
          <w:t>24</w:t>
        </w:r>
        <w:r w:rsidR="0055056D" w:rsidRPr="0055056D">
          <w:rPr>
            <w:webHidden/>
          </w:rPr>
          <w:fldChar w:fldCharType="end"/>
        </w:r>
      </w:hyperlink>
    </w:p>
    <w:p w14:paraId="7A0B0A76" w14:textId="4D28BF68" w:rsidR="0055056D" w:rsidRPr="0055056D" w:rsidRDefault="00000000">
      <w:pPr>
        <w:pStyle w:val="Sommario1"/>
        <w:rPr>
          <w:rFonts w:asciiTheme="minorHAnsi" w:eastAsiaTheme="minorEastAsia" w:hAnsiTheme="minorHAnsi" w:cstheme="minorBidi"/>
          <w:b w:val="0"/>
          <w:bCs w:val="0"/>
          <w:sz w:val="22"/>
          <w:lang w:eastAsia="en-GB"/>
        </w:rPr>
      </w:pPr>
      <w:hyperlink w:anchor="_Toc134020197" w:history="1">
        <w:r w:rsidR="0055056D" w:rsidRPr="0055056D">
          <w:rPr>
            <w:rStyle w:val="Collegamentoipertestuale"/>
            <w:lang w:val="en-US"/>
            <w14:scene3d>
              <w14:camera w14:prst="orthographicFront"/>
              <w14:lightRig w14:rig="threePt" w14:dir="t">
                <w14:rot w14:lat="0" w14:lon="0" w14:rev="0"/>
              </w14:lightRig>
            </w14:scene3d>
          </w:rPr>
          <w:t>4.</w:t>
        </w:r>
        <w:r w:rsidR="0055056D" w:rsidRPr="0055056D">
          <w:rPr>
            <w:rFonts w:asciiTheme="minorHAnsi" w:eastAsiaTheme="minorEastAsia" w:hAnsiTheme="minorHAnsi" w:cstheme="minorBidi"/>
            <w:b w:val="0"/>
            <w:bCs w:val="0"/>
            <w:sz w:val="22"/>
            <w:lang w:eastAsia="en-GB"/>
          </w:rPr>
          <w:tab/>
        </w:r>
        <w:r w:rsidR="0055056D" w:rsidRPr="0055056D">
          <w:rPr>
            <w:rStyle w:val="Collegamentoipertestuale"/>
            <w:lang w:val="en-US"/>
          </w:rPr>
          <w:t>Conclusion and New Challenges</w:t>
        </w:r>
        <w:r w:rsidR="0055056D" w:rsidRPr="0055056D">
          <w:rPr>
            <w:webHidden/>
          </w:rPr>
          <w:tab/>
        </w:r>
        <w:r w:rsidR="0055056D" w:rsidRPr="0055056D">
          <w:rPr>
            <w:webHidden/>
          </w:rPr>
          <w:fldChar w:fldCharType="begin"/>
        </w:r>
        <w:r w:rsidR="0055056D" w:rsidRPr="0055056D">
          <w:rPr>
            <w:webHidden/>
          </w:rPr>
          <w:instrText xml:space="preserve"> PAGEREF _Toc134020197 \h </w:instrText>
        </w:r>
        <w:r w:rsidR="0055056D" w:rsidRPr="0055056D">
          <w:rPr>
            <w:webHidden/>
          </w:rPr>
        </w:r>
        <w:r w:rsidR="0055056D" w:rsidRPr="0055056D">
          <w:rPr>
            <w:webHidden/>
          </w:rPr>
          <w:fldChar w:fldCharType="separate"/>
        </w:r>
        <w:r w:rsidR="0055056D" w:rsidRPr="0055056D">
          <w:rPr>
            <w:webHidden/>
          </w:rPr>
          <w:t>29</w:t>
        </w:r>
        <w:r w:rsidR="0055056D" w:rsidRPr="0055056D">
          <w:rPr>
            <w:webHidden/>
          </w:rPr>
          <w:fldChar w:fldCharType="end"/>
        </w:r>
      </w:hyperlink>
    </w:p>
    <w:p w14:paraId="184F5558" w14:textId="149D49E1" w:rsidR="00C41866" w:rsidRPr="0055056D" w:rsidRDefault="00E254D1" w:rsidP="00657A35">
      <w:pPr>
        <w:pStyle w:val="MBT"/>
        <w:rPr>
          <w:noProof/>
          <w:lang w:eastAsia="en-GB"/>
        </w:rPr>
      </w:pPr>
      <w:r w:rsidRPr="0055056D">
        <w:rPr>
          <w:rFonts w:ascii="Century Gothic" w:hAnsi="Century Gothic"/>
          <w:b/>
          <w:bCs w:val="0"/>
          <w:caps/>
          <w:noProof/>
          <w:sz w:val="24"/>
          <w:szCs w:val="20"/>
        </w:rPr>
        <w:fldChar w:fldCharType="end"/>
      </w:r>
      <w:r w:rsidR="00C41866" w:rsidRPr="0055056D">
        <w:rPr>
          <w:caps/>
        </w:rPr>
        <w:fldChar w:fldCharType="begin"/>
      </w:r>
      <w:r w:rsidR="00C41866" w:rsidRPr="0055056D">
        <w:instrText xml:space="preserve"> TOC \o "1-3" \h \z \u </w:instrText>
      </w:r>
      <w:r w:rsidR="00C41866" w:rsidRPr="0055056D">
        <w:rPr>
          <w:caps/>
        </w:rPr>
        <w:fldChar w:fldCharType="separate"/>
      </w:r>
    </w:p>
    <w:p w14:paraId="3689C199" w14:textId="77777777" w:rsidR="00C41866" w:rsidRPr="0055056D" w:rsidRDefault="00C41866" w:rsidP="00657A35">
      <w:pPr>
        <w:pStyle w:val="MBT"/>
      </w:pPr>
      <w:r w:rsidRPr="0055056D">
        <w:rPr>
          <w:rFonts w:cs="Arial"/>
          <w:b/>
          <w:noProof/>
          <w:color w:val="000080"/>
        </w:rPr>
        <w:fldChar w:fldCharType="end"/>
      </w:r>
    </w:p>
    <w:p w14:paraId="7D92C404" w14:textId="77777777" w:rsidR="00F66A6B" w:rsidRPr="0055056D" w:rsidRDefault="00F66A6B" w:rsidP="00F66A6B">
      <w:pPr>
        <w:pStyle w:val="MH1nonumb"/>
      </w:pPr>
      <w:bookmarkStart w:id="0" w:name="_Toc134020193"/>
      <w:r w:rsidRPr="0055056D">
        <w:lastRenderedPageBreak/>
        <w:t xml:space="preserve">Abbreviations </w:t>
      </w:r>
      <w:proofErr w:type="gramStart"/>
      <w:r w:rsidRPr="0055056D">
        <w:t>used</w:t>
      </w:r>
      <w:bookmarkEnd w:id="0"/>
      <w:proofErr w:type="gramEnd"/>
    </w:p>
    <w:tbl>
      <w:tblPr>
        <w:tblStyle w:val="ListTable1Light1"/>
        <w:tblW w:w="5000" w:type="pct"/>
        <w:tblLook w:val="0620" w:firstRow="1" w:lastRow="0" w:firstColumn="0" w:lastColumn="0" w:noHBand="1" w:noVBand="1"/>
      </w:tblPr>
      <w:tblGrid>
        <w:gridCol w:w="2995"/>
        <w:gridCol w:w="6642"/>
      </w:tblGrid>
      <w:tr w:rsidR="0055056D" w:rsidRPr="0055056D" w14:paraId="5A504726" w14:textId="77777777" w:rsidTr="008C712E">
        <w:trPr>
          <w:cnfStyle w:val="100000000000" w:firstRow="1" w:lastRow="0" w:firstColumn="0" w:lastColumn="0" w:oddVBand="0" w:evenVBand="0" w:oddHBand="0" w:evenHBand="0" w:firstRowFirstColumn="0" w:firstRowLastColumn="0" w:lastRowFirstColumn="0" w:lastRowLastColumn="0"/>
          <w:trHeight w:val="346"/>
        </w:trPr>
        <w:tc>
          <w:tcPr>
            <w:tcW w:w="1554" w:type="pct"/>
          </w:tcPr>
          <w:p w14:paraId="7CB24B16" w14:textId="77777777" w:rsidR="0055056D" w:rsidRPr="0055056D" w:rsidRDefault="0055056D" w:rsidP="008C712E">
            <w:pPr>
              <w:spacing w:after="120" w:line="240" w:lineRule="auto"/>
              <w:rPr>
                <w:rFonts w:ascii="Arial" w:hAnsi="Arial" w:cs="Arial"/>
                <w:sz w:val="22"/>
                <w:szCs w:val="22"/>
                <w:lang w:eastAsia="en-GB"/>
              </w:rPr>
            </w:pPr>
            <w:bookmarkStart w:id="1" w:name="_Toc80868901"/>
            <w:bookmarkStart w:id="2" w:name="_Toc145843888"/>
            <w:bookmarkStart w:id="3" w:name="_Toc147295812"/>
            <w:r w:rsidRPr="0055056D">
              <w:rPr>
                <w:rFonts w:ascii="Arial" w:hAnsi="Arial" w:cs="Arial"/>
                <w:sz w:val="22"/>
                <w:szCs w:val="22"/>
                <w:lang w:eastAsia="en-GB"/>
              </w:rPr>
              <w:t xml:space="preserve">Abbreviation </w:t>
            </w:r>
          </w:p>
        </w:tc>
        <w:tc>
          <w:tcPr>
            <w:tcW w:w="3446" w:type="pct"/>
          </w:tcPr>
          <w:p w14:paraId="5EF78FB0" w14:textId="77777777" w:rsidR="0055056D" w:rsidRPr="0055056D" w:rsidRDefault="0055056D" w:rsidP="008C712E">
            <w:pPr>
              <w:spacing w:after="120" w:line="240" w:lineRule="auto"/>
              <w:rPr>
                <w:rFonts w:ascii="Arial" w:hAnsi="Arial" w:cs="Arial"/>
                <w:sz w:val="22"/>
                <w:szCs w:val="22"/>
                <w:lang w:eastAsia="en-GB"/>
              </w:rPr>
            </w:pPr>
            <w:r w:rsidRPr="0055056D">
              <w:rPr>
                <w:rFonts w:ascii="Arial" w:hAnsi="Arial" w:cs="Arial"/>
                <w:sz w:val="22"/>
                <w:szCs w:val="22"/>
                <w:lang w:eastAsia="en-GB"/>
              </w:rPr>
              <w:t xml:space="preserve">Full text </w:t>
            </w:r>
          </w:p>
        </w:tc>
      </w:tr>
      <w:tr w:rsidR="0055056D" w:rsidRPr="0055056D" w14:paraId="01ACDADD" w14:textId="77777777" w:rsidTr="008C712E">
        <w:trPr>
          <w:trHeight w:val="346"/>
        </w:trPr>
        <w:tc>
          <w:tcPr>
            <w:tcW w:w="1554" w:type="pct"/>
          </w:tcPr>
          <w:p w14:paraId="54C67271" w14:textId="77777777" w:rsidR="0055056D" w:rsidRPr="0055056D" w:rsidRDefault="0055056D" w:rsidP="008C712E">
            <w:pPr>
              <w:spacing w:after="120" w:line="240" w:lineRule="auto"/>
              <w:rPr>
                <w:rFonts w:ascii="Arial" w:hAnsi="Arial" w:cs="Arial"/>
                <w:sz w:val="22"/>
                <w:szCs w:val="22"/>
                <w:lang w:eastAsia="en-GB"/>
              </w:rPr>
            </w:pPr>
            <w:r w:rsidRPr="0055056D">
              <w:rPr>
                <w:rFonts w:ascii="Arial" w:hAnsi="Arial" w:cs="Arial"/>
                <w:sz w:val="22"/>
                <w:szCs w:val="22"/>
                <w:lang w:eastAsia="en-GB"/>
              </w:rPr>
              <w:t>CC</w:t>
            </w:r>
          </w:p>
        </w:tc>
        <w:tc>
          <w:tcPr>
            <w:tcW w:w="3446" w:type="pct"/>
          </w:tcPr>
          <w:p w14:paraId="5C2139A2" w14:textId="77777777" w:rsidR="0055056D" w:rsidRPr="0055056D" w:rsidRDefault="0055056D" w:rsidP="008C712E">
            <w:pPr>
              <w:spacing w:after="120" w:line="240" w:lineRule="auto"/>
              <w:rPr>
                <w:rFonts w:ascii="Arial" w:hAnsi="Arial" w:cs="Arial"/>
                <w:sz w:val="22"/>
                <w:szCs w:val="22"/>
                <w:lang w:eastAsia="en-GB"/>
              </w:rPr>
            </w:pPr>
            <w:r w:rsidRPr="0055056D">
              <w:rPr>
                <w:rFonts w:ascii="Arial" w:hAnsi="Arial" w:cs="Arial"/>
                <w:sz w:val="22"/>
                <w:szCs w:val="22"/>
                <w:lang w:eastAsia="en-GB"/>
              </w:rPr>
              <w:t>Constitutional Court</w:t>
            </w:r>
          </w:p>
        </w:tc>
      </w:tr>
      <w:tr w:rsidR="0055056D" w:rsidRPr="0055056D" w14:paraId="35F4650D" w14:textId="77777777" w:rsidTr="008C712E">
        <w:trPr>
          <w:trHeight w:val="346"/>
        </w:trPr>
        <w:tc>
          <w:tcPr>
            <w:tcW w:w="1554" w:type="pct"/>
          </w:tcPr>
          <w:p w14:paraId="5F55100C" w14:textId="77777777" w:rsidR="0055056D" w:rsidRPr="0055056D" w:rsidRDefault="0055056D" w:rsidP="008C712E">
            <w:pPr>
              <w:spacing w:after="120" w:line="240" w:lineRule="auto"/>
              <w:rPr>
                <w:rFonts w:ascii="Arial" w:hAnsi="Arial" w:cs="Arial"/>
                <w:sz w:val="22"/>
                <w:szCs w:val="22"/>
                <w:lang w:eastAsia="en-GB"/>
              </w:rPr>
            </w:pPr>
            <w:r w:rsidRPr="0055056D">
              <w:rPr>
                <w:rFonts w:ascii="Arial" w:hAnsi="Arial" w:cs="Arial"/>
                <w:sz w:val="22"/>
                <w:szCs w:val="22"/>
                <w:lang w:eastAsia="en-GB"/>
              </w:rPr>
              <w:t>ETA</w:t>
            </w:r>
          </w:p>
        </w:tc>
        <w:tc>
          <w:tcPr>
            <w:tcW w:w="3446" w:type="pct"/>
          </w:tcPr>
          <w:p w14:paraId="5D558C4E" w14:textId="77777777" w:rsidR="0055056D" w:rsidRPr="0055056D" w:rsidRDefault="0055056D" w:rsidP="008C712E">
            <w:pPr>
              <w:spacing w:after="120" w:line="240" w:lineRule="auto"/>
              <w:rPr>
                <w:rFonts w:ascii="Arial" w:hAnsi="Arial" w:cs="Arial"/>
                <w:sz w:val="22"/>
                <w:szCs w:val="22"/>
                <w:lang w:val="es-ES" w:eastAsia="en-GB"/>
              </w:rPr>
            </w:pPr>
            <w:proofErr w:type="spellStart"/>
            <w:r w:rsidRPr="0055056D">
              <w:rPr>
                <w:rFonts w:ascii="Arial" w:hAnsi="Arial" w:cs="Arial"/>
                <w:sz w:val="22"/>
                <w:szCs w:val="22"/>
                <w:lang w:val="es-ES" w:eastAsia="en-GB"/>
              </w:rPr>
              <w:t>Equal</w:t>
            </w:r>
            <w:proofErr w:type="spellEnd"/>
            <w:r w:rsidRPr="0055056D">
              <w:rPr>
                <w:rFonts w:ascii="Arial" w:hAnsi="Arial" w:cs="Arial"/>
                <w:sz w:val="22"/>
                <w:szCs w:val="22"/>
                <w:lang w:val="es-ES" w:eastAsia="en-GB"/>
              </w:rPr>
              <w:t xml:space="preserve"> </w:t>
            </w:r>
            <w:proofErr w:type="spellStart"/>
            <w:r w:rsidRPr="0055056D">
              <w:rPr>
                <w:rFonts w:ascii="Arial" w:hAnsi="Arial" w:cs="Arial"/>
                <w:sz w:val="22"/>
                <w:szCs w:val="22"/>
                <w:lang w:val="es-ES" w:eastAsia="en-GB"/>
              </w:rPr>
              <w:t>Treatment</w:t>
            </w:r>
            <w:proofErr w:type="spellEnd"/>
            <w:r w:rsidRPr="0055056D">
              <w:rPr>
                <w:rFonts w:ascii="Arial" w:hAnsi="Arial" w:cs="Arial"/>
                <w:sz w:val="22"/>
                <w:szCs w:val="22"/>
                <w:lang w:val="es-ES" w:eastAsia="en-GB"/>
              </w:rPr>
              <w:t xml:space="preserve"> </w:t>
            </w:r>
            <w:proofErr w:type="spellStart"/>
            <w:r w:rsidRPr="0055056D">
              <w:rPr>
                <w:rFonts w:ascii="Arial" w:hAnsi="Arial" w:cs="Arial"/>
                <w:sz w:val="22"/>
                <w:szCs w:val="22"/>
                <w:lang w:val="es-ES" w:eastAsia="en-GB"/>
              </w:rPr>
              <w:t>Authority</w:t>
            </w:r>
            <w:proofErr w:type="spellEnd"/>
          </w:p>
        </w:tc>
      </w:tr>
      <w:tr w:rsidR="0055056D" w:rsidRPr="0055056D" w14:paraId="32B0F5A5" w14:textId="77777777" w:rsidTr="008C712E">
        <w:trPr>
          <w:trHeight w:val="346"/>
        </w:trPr>
        <w:tc>
          <w:tcPr>
            <w:tcW w:w="1554" w:type="pct"/>
          </w:tcPr>
          <w:p w14:paraId="7BD57FF5" w14:textId="77777777" w:rsidR="0055056D" w:rsidRPr="0055056D" w:rsidRDefault="0055056D" w:rsidP="008C712E">
            <w:pPr>
              <w:spacing w:after="120" w:line="240" w:lineRule="auto"/>
              <w:rPr>
                <w:rFonts w:ascii="Arial" w:hAnsi="Arial" w:cs="Arial"/>
                <w:sz w:val="22"/>
                <w:szCs w:val="22"/>
                <w:lang w:eastAsia="en-GB"/>
              </w:rPr>
            </w:pPr>
            <w:r w:rsidRPr="0055056D">
              <w:rPr>
                <w:rFonts w:ascii="Arial" w:hAnsi="Arial" w:cs="Arial"/>
                <w:sz w:val="22"/>
                <w:szCs w:val="22"/>
                <w:lang w:eastAsia="en-GB"/>
              </w:rPr>
              <w:t>CFR</w:t>
            </w:r>
          </w:p>
        </w:tc>
        <w:tc>
          <w:tcPr>
            <w:tcW w:w="3446" w:type="pct"/>
          </w:tcPr>
          <w:p w14:paraId="489ACAD9" w14:textId="77777777" w:rsidR="0055056D" w:rsidRPr="0055056D" w:rsidRDefault="0055056D" w:rsidP="008C712E">
            <w:pPr>
              <w:pStyle w:val="MBT"/>
              <w:rPr>
                <w:rFonts w:cs="Arial"/>
              </w:rPr>
            </w:pPr>
            <w:r w:rsidRPr="0055056D">
              <w:rPr>
                <w:rFonts w:cs="Arial"/>
              </w:rPr>
              <w:t>Office of the Commissioner for Fundamental Rights in Hungary</w:t>
            </w:r>
          </w:p>
          <w:p w14:paraId="7564AF96" w14:textId="77777777" w:rsidR="0055056D" w:rsidRPr="0055056D" w:rsidRDefault="0055056D" w:rsidP="008C712E">
            <w:pPr>
              <w:spacing w:after="120" w:line="240" w:lineRule="auto"/>
              <w:rPr>
                <w:rFonts w:ascii="Arial" w:hAnsi="Arial" w:cs="Arial"/>
                <w:sz w:val="22"/>
                <w:szCs w:val="22"/>
                <w:lang w:eastAsia="en-GB"/>
              </w:rPr>
            </w:pPr>
          </w:p>
        </w:tc>
      </w:tr>
      <w:tr w:rsidR="0055056D" w:rsidRPr="0055056D" w:rsidDel="006873B2" w14:paraId="01E7D2C6" w14:textId="77777777" w:rsidTr="008C712E">
        <w:trPr>
          <w:trHeight w:val="346"/>
        </w:trPr>
        <w:tc>
          <w:tcPr>
            <w:tcW w:w="1554" w:type="pct"/>
          </w:tcPr>
          <w:p w14:paraId="49CC8100" w14:textId="77777777" w:rsidR="0055056D" w:rsidRPr="0055056D" w:rsidDel="006873B2" w:rsidRDefault="0055056D" w:rsidP="008C712E">
            <w:pPr>
              <w:spacing w:after="120" w:line="240" w:lineRule="auto"/>
              <w:rPr>
                <w:rFonts w:ascii="Arial" w:hAnsi="Arial" w:cs="Arial"/>
                <w:sz w:val="22"/>
                <w:szCs w:val="22"/>
                <w:lang w:eastAsia="en-GB"/>
              </w:rPr>
            </w:pPr>
            <w:r w:rsidRPr="0055056D">
              <w:rPr>
                <w:rFonts w:ascii="Arial" w:hAnsi="Arial" w:cs="Arial"/>
                <w:sz w:val="22"/>
                <w:szCs w:val="22"/>
                <w:lang w:eastAsia="en-GB"/>
              </w:rPr>
              <w:t>NAIH/DPA</w:t>
            </w:r>
          </w:p>
        </w:tc>
        <w:tc>
          <w:tcPr>
            <w:tcW w:w="3446" w:type="pct"/>
          </w:tcPr>
          <w:p w14:paraId="457DB078" w14:textId="77777777" w:rsidR="0055056D" w:rsidRPr="0055056D" w:rsidDel="006873B2" w:rsidRDefault="0055056D" w:rsidP="008C712E">
            <w:pPr>
              <w:spacing w:after="120" w:line="240" w:lineRule="auto"/>
              <w:rPr>
                <w:rFonts w:ascii="Arial" w:hAnsi="Arial" w:cs="Arial"/>
                <w:sz w:val="22"/>
                <w:szCs w:val="22"/>
                <w:lang w:eastAsia="en-GB"/>
              </w:rPr>
            </w:pPr>
            <w:r w:rsidRPr="0055056D">
              <w:rPr>
                <w:rFonts w:ascii="Arial" w:hAnsi="Arial" w:cs="Arial"/>
                <w:sz w:val="22"/>
                <w:szCs w:val="22"/>
              </w:rPr>
              <w:t>National Authority for Data Protection and Freedom of Information</w:t>
            </w:r>
          </w:p>
        </w:tc>
      </w:tr>
      <w:tr w:rsidR="0055056D" w:rsidRPr="0055056D" w:rsidDel="006873B2" w14:paraId="2B7FA9DD" w14:textId="77777777" w:rsidTr="008C712E">
        <w:trPr>
          <w:trHeight w:val="346"/>
        </w:trPr>
        <w:tc>
          <w:tcPr>
            <w:tcW w:w="1554" w:type="pct"/>
          </w:tcPr>
          <w:p w14:paraId="358DADFA" w14:textId="77777777" w:rsidR="0055056D" w:rsidRPr="0055056D" w:rsidDel="006873B2" w:rsidRDefault="0055056D" w:rsidP="008C712E">
            <w:pPr>
              <w:spacing w:after="120" w:line="240" w:lineRule="auto"/>
              <w:rPr>
                <w:rFonts w:ascii="Arial" w:hAnsi="Arial" w:cs="Arial"/>
                <w:sz w:val="22"/>
                <w:szCs w:val="22"/>
                <w:lang w:eastAsia="en-GB"/>
              </w:rPr>
            </w:pPr>
            <w:r w:rsidRPr="0055056D">
              <w:rPr>
                <w:rFonts w:ascii="Arial" w:hAnsi="Arial" w:cs="Arial"/>
                <w:sz w:val="22"/>
                <w:szCs w:val="22"/>
              </w:rPr>
              <w:t>NHRI</w:t>
            </w:r>
          </w:p>
        </w:tc>
        <w:tc>
          <w:tcPr>
            <w:tcW w:w="3446" w:type="pct"/>
          </w:tcPr>
          <w:p w14:paraId="17582492" w14:textId="77777777" w:rsidR="0055056D" w:rsidRPr="0055056D" w:rsidDel="006873B2" w:rsidRDefault="0055056D" w:rsidP="008C712E">
            <w:pPr>
              <w:spacing w:after="120" w:line="240" w:lineRule="auto"/>
              <w:rPr>
                <w:rFonts w:ascii="Arial" w:hAnsi="Arial" w:cs="Arial"/>
                <w:sz w:val="22"/>
                <w:szCs w:val="22"/>
                <w:lang w:eastAsia="en-GB"/>
              </w:rPr>
            </w:pPr>
            <w:r w:rsidRPr="0055056D">
              <w:rPr>
                <w:rFonts w:ascii="Arial" w:hAnsi="Arial" w:cs="Arial"/>
                <w:sz w:val="22"/>
                <w:szCs w:val="22"/>
                <w:lang w:eastAsia="en-GB"/>
              </w:rPr>
              <w:t>National Human Rights Institution</w:t>
            </w:r>
          </w:p>
        </w:tc>
      </w:tr>
      <w:tr w:rsidR="0055056D" w:rsidRPr="0055056D" w14:paraId="3B7C49D4" w14:textId="77777777" w:rsidTr="008C712E">
        <w:trPr>
          <w:trHeight w:val="346"/>
        </w:trPr>
        <w:tc>
          <w:tcPr>
            <w:tcW w:w="1554" w:type="pct"/>
          </w:tcPr>
          <w:p w14:paraId="5BA45F4C" w14:textId="77777777" w:rsidR="0055056D" w:rsidRPr="0055056D" w:rsidRDefault="0055056D" w:rsidP="008C712E">
            <w:pPr>
              <w:spacing w:after="120" w:line="240" w:lineRule="auto"/>
              <w:rPr>
                <w:rFonts w:ascii="Arial" w:hAnsi="Arial" w:cs="Arial"/>
                <w:sz w:val="22"/>
                <w:szCs w:val="22"/>
                <w:lang w:eastAsia="en-GB"/>
              </w:rPr>
            </w:pPr>
            <w:r w:rsidRPr="0055056D">
              <w:rPr>
                <w:rFonts w:ascii="Arial" w:hAnsi="Arial" w:cs="Arial"/>
                <w:sz w:val="22"/>
                <w:szCs w:val="22"/>
                <w:lang w:eastAsia="en-GB"/>
              </w:rPr>
              <w:t>NOJ</w:t>
            </w:r>
          </w:p>
        </w:tc>
        <w:tc>
          <w:tcPr>
            <w:tcW w:w="3446" w:type="pct"/>
          </w:tcPr>
          <w:p w14:paraId="4BE8C28C" w14:textId="77777777" w:rsidR="0055056D" w:rsidRPr="0055056D" w:rsidRDefault="0055056D" w:rsidP="008C712E">
            <w:pPr>
              <w:spacing w:after="120" w:line="240" w:lineRule="auto"/>
              <w:rPr>
                <w:rFonts w:ascii="Arial" w:hAnsi="Arial" w:cs="Arial"/>
                <w:sz w:val="22"/>
                <w:szCs w:val="22"/>
                <w:lang w:eastAsia="en-GB"/>
              </w:rPr>
            </w:pPr>
            <w:r w:rsidRPr="0055056D">
              <w:rPr>
                <w:rFonts w:ascii="Arial" w:hAnsi="Arial" w:cs="Arial"/>
                <w:sz w:val="22"/>
                <w:szCs w:val="22"/>
              </w:rPr>
              <w:t>National Office for the Judiciary</w:t>
            </w:r>
          </w:p>
        </w:tc>
      </w:tr>
      <w:tr w:rsidR="0055056D" w:rsidRPr="0055056D" w14:paraId="083F3FEC" w14:textId="77777777" w:rsidTr="008C712E">
        <w:trPr>
          <w:trHeight w:val="346"/>
        </w:trPr>
        <w:tc>
          <w:tcPr>
            <w:tcW w:w="1554" w:type="pct"/>
          </w:tcPr>
          <w:p w14:paraId="2A29231B" w14:textId="77777777" w:rsidR="0055056D" w:rsidRPr="0055056D" w:rsidRDefault="0055056D" w:rsidP="008C712E">
            <w:pPr>
              <w:spacing w:after="120" w:line="240" w:lineRule="auto"/>
              <w:rPr>
                <w:rFonts w:ascii="Arial" w:hAnsi="Arial" w:cs="Arial"/>
                <w:sz w:val="22"/>
                <w:szCs w:val="22"/>
                <w:lang w:val="es-ES" w:eastAsia="en-GB"/>
              </w:rPr>
            </w:pPr>
            <w:r w:rsidRPr="0055056D">
              <w:rPr>
                <w:rFonts w:ascii="Arial" w:hAnsi="Arial" w:cs="Arial"/>
                <w:sz w:val="22"/>
                <w:szCs w:val="22"/>
                <w:lang w:val="es-ES" w:eastAsia="en-GB"/>
              </w:rPr>
              <w:t>NJC</w:t>
            </w:r>
          </w:p>
        </w:tc>
        <w:tc>
          <w:tcPr>
            <w:tcW w:w="3446" w:type="pct"/>
          </w:tcPr>
          <w:p w14:paraId="07349B87" w14:textId="77777777" w:rsidR="0055056D" w:rsidRPr="0055056D" w:rsidRDefault="0055056D" w:rsidP="008C712E">
            <w:pPr>
              <w:spacing w:after="120" w:line="240" w:lineRule="auto"/>
              <w:rPr>
                <w:rFonts w:ascii="Arial" w:hAnsi="Arial" w:cs="Arial"/>
                <w:sz w:val="22"/>
                <w:szCs w:val="22"/>
                <w:lang w:eastAsia="en-GB"/>
              </w:rPr>
            </w:pPr>
            <w:r w:rsidRPr="0055056D">
              <w:rPr>
                <w:rFonts w:ascii="Arial" w:hAnsi="Arial" w:cs="Arial"/>
                <w:sz w:val="22"/>
                <w:szCs w:val="22"/>
              </w:rPr>
              <w:t>National Judicial Council</w:t>
            </w:r>
          </w:p>
        </w:tc>
      </w:tr>
      <w:tr w:rsidR="0055056D" w:rsidRPr="0055056D" w14:paraId="41A25DC3" w14:textId="77777777" w:rsidTr="008C712E">
        <w:trPr>
          <w:trHeight w:val="346"/>
        </w:trPr>
        <w:tc>
          <w:tcPr>
            <w:tcW w:w="1554" w:type="pct"/>
          </w:tcPr>
          <w:p w14:paraId="7D83E4D9" w14:textId="77777777" w:rsidR="0055056D" w:rsidRPr="0055056D" w:rsidRDefault="0055056D" w:rsidP="008C712E">
            <w:pPr>
              <w:spacing w:after="120" w:line="240" w:lineRule="auto"/>
              <w:rPr>
                <w:rFonts w:ascii="Arial" w:hAnsi="Arial" w:cs="Arial"/>
                <w:sz w:val="22"/>
                <w:szCs w:val="22"/>
                <w:lang w:val="es-ES" w:eastAsia="en-GB"/>
              </w:rPr>
            </w:pPr>
            <w:r w:rsidRPr="0055056D">
              <w:rPr>
                <w:rFonts w:ascii="Arial" w:hAnsi="Arial" w:cs="Arial"/>
                <w:sz w:val="22"/>
                <w:szCs w:val="22"/>
              </w:rPr>
              <w:t>GANHRI</w:t>
            </w:r>
          </w:p>
        </w:tc>
        <w:tc>
          <w:tcPr>
            <w:tcW w:w="3446" w:type="pct"/>
          </w:tcPr>
          <w:p w14:paraId="47EF47CD" w14:textId="77777777" w:rsidR="0055056D" w:rsidRPr="0055056D" w:rsidRDefault="0055056D" w:rsidP="008C712E">
            <w:pPr>
              <w:spacing w:after="120" w:line="240" w:lineRule="auto"/>
              <w:rPr>
                <w:rFonts w:ascii="Arial" w:hAnsi="Arial" w:cs="Arial"/>
                <w:sz w:val="22"/>
                <w:szCs w:val="22"/>
                <w:lang w:val="es-ES" w:eastAsia="en-GB"/>
              </w:rPr>
            </w:pPr>
            <w:r w:rsidRPr="0055056D">
              <w:rPr>
                <w:rFonts w:ascii="Arial" w:hAnsi="Arial" w:cs="Arial"/>
                <w:sz w:val="22"/>
                <w:szCs w:val="22"/>
              </w:rPr>
              <w:t>Global Alliance of National Human Rights Institutions</w:t>
            </w:r>
          </w:p>
        </w:tc>
      </w:tr>
      <w:tr w:rsidR="0055056D" w:rsidRPr="0055056D" w14:paraId="33F96F61" w14:textId="77777777" w:rsidTr="008C712E">
        <w:trPr>
          <w:trHeight w:val="356"/>
        </w:trPr>
        <w:tc>
          <w:tcPr>
            <w:tcW w:w="1554" w:type="pct"/>
          </w:tcPr>
          <w:p w14:paraId="0CF3D6F6" w14:textId="77777777" w:rsidR="0055056D" w:rsidRPr="0055056D" w:rsidRDefault="0055056D" w:rsidP="008C712E">
            <w:pPr>
              <w:spacing w:after="120" w:line="240" w:lineRule="auto"/>
              <w:rPr>
                <w:rFonts w:ascii="Arial" w:hAnsi="Arial" w:cs="Arial"/>
                <w:sz w:val="22"/>
                <w:szCs w:val="22"/>
                <w:lang w:eastAsia="en-GB"/>
              </w:rPr>
            </w:pPr>
            <w:r w:rsidRPr="0055056D">
              <w:rPr>
                <w:rFonts w:ascii="Arial" w:hAnsi="Arial" w:cs="Arial"/>
                <w:sz w:val="22"/>
                <w:szCs w:val="22"/>
                <w:lang w:eastAsia="en-GB"/>
              </w:rPr>
              <w:t>SCA</w:t>
            </w:r>
          </w:p>
        </w:tc>
        <w:tc>
          <w:tcPr>
            <w:tcW w:w="3446" w:type="pct"/>
          </w:tcPr>
          <w:p w14:paraId="018A5C09" w14:textId="77777777" w:rsidR="0055056D" w:rsidRPr="0055056D" w:rsidRDefault="0055056D" w:rsidP="008C712E">
            <w:pPr>
              <w:spacing w:after="120" w:line="240" w:lineRule="auto"/>
              <w:rPr>
                <w:rFonts w:ascii="Arial" w:hAnsi="Arial" w:cs="Arial"/>
                <w:sz w:val="22"/>
                <w:szCs w:val="22"/>
                <w:lang w:val="es-ES" w:eastAsia="en-GB"/>
              </w:rPr>
            </w:pPr>
            <w:r w:rsidRPr="0055056D">
              <w:rPr>
                <w:rFonts w:ascii="Arial" w:hAnsi="Arial" w:cs="Arial"/>
                <w:sz w:val="22"/>
                <w:szCs w:val="22"/>
              </w:rPr>
              <w:t>Sub-committee on Accreditation</w:t>
            </w:r>
          </w:p>
        </w:tc>
      </w:tr>
      <w:tr w:rsidR="0055056D" w:rsidRPr="0055056D" w:rsidDel="006873B2" w14:paraId="1F44E223" w14:textId="77777777" w:rsidTr="008C712E">
        <w:trPr>
          <w:trHeight w:val="356"/>
        </w:trPr>
        <w:tc>
          <w:tcPr>
            <w:tcW w:w="1554" w:type="pct"/>
          </w:tcPr>
          <w:p w14:paraId="0332B93B" w14:textId="77777777" w:rsidR="0055056D" w:rsidRPr="0055056D" w:rsidDel="006873B2" w:rsidRDefault="0055056D" w:rsidP="008C712E">
            <w:pPr>
              <w:spacing w:after="120" w:line="240" w:lineRule="auto"/>
              <w:rPr>
                <w:rFonts w:ascii="Arial" w:hAnsi="Arial" w:cs="Arial"/>
                <w:sz w:val="22"/>
                <w:szCs w:val="22"/>
                <w:lang w:eastAsia="en-GB"/>
              </w:rPr>
            </w:pPr>
            <w:r w:rsidRPr="0055056D">
              <w:rPr>
                <w:rFonts w:ascii="Arial" w:hAnsi="Arial" w:cs="Arial"/>
                <w:sz w:val="22"/>
                <w:szCs w:val="22"/>
                <w:lang w:eastAsia="en-GB"/>
              </w:rPr>
              <w:t>CJEU</w:t>
            </w:r>
          </w:p>
        </w:tc>
        <w:tc>
          <w:tcPr>
            <w:tcW w:w="3446" w:type="pct"/>
          </w:tcPr>
          <w:p w14:paraId="4BF8B502" w14:textId="77777777" w:rsidR="0055056D" w:rsidRPr="0055056D" w:rsidDel="006873B2" w:rsidRDefault="0055056D" w:rsidP="008C712E">
            <w:pPr>
              <w:spacing w:after="120" w:line="240" w:lineRule="auto"/>
              <w:rPr>
                <w:rFonts w:ascii="Arial" w:hAnsi="Arial" w:cs="Arial"/>
                <w:sz w:val="22"/>
                <w:szCs w:val="22"/>
                <w:lang w:eastAsia="en-GB"/>
              </w:rPr>
            </w:pPr>
            <w:r w:rsidRPr="0055056D">
              <w:rPr>
                <w:rFonts w:ascii="Arial" w:hAnsi="Arial" w:cs="Arial"/>
                <w:sz w:val="22"/>
                <w:szCs w:val="22"/>
              </w:rPr>
              <w:t>Court of Justice of the European Union</w:t>
            </w:r>
          </w:p>
        </w:tc>
      </w:tr>
    </w:tbl>
    <w:p w14:paraId="49E07AEC" w14:textId="77777777" w:rsidR="00E32E8F" w:rsidRPr="0055056D" w:rsidRDefault="00E32E8F" w:rsidP="00F66A6B">
      <w:pPr>
        <w:pStyle w:val="MBT"/>
      </w:pPr>
    </w:p>
    <w:p w14:paraId="7BDAEFF0" w14:textId="167C88B6" w:rsidR="00F66A6B" w:rsidRPr="0055056D" w:rsidRDefault="00F66A6B" w:rsidP="00F66A6B">
      <w:pPr>
        <w:widowControl w:val="0"/>
        <w:jc w:val="both"/>
      </w:pPr>
      <w:r w:rsidRPr="0055056D">
        <w:br w:type="page"/>
      </w:r>
      <w:bookmarkEnd w:id="1"/>
      <w:bookmarkEnd w:id="2"/>
      <w:bookmarkEnd w:id="3"/>
    </w:p>
    <w:p w14:paraId="5224AA6F" w14:textId="77777777" w:rsidR="000B542F" w:rsidRPr="0055056D" w:rsidRDefault="000B542F" w:rsidP="000B542F">
      <w:pPr>
        <w:pStyle w:val="MH1"/>
        <w:jc w:val="left"/>
        <w:rPr>
          <w:lang w:val="en-US"/>
        </w:rPr>
      </w:pPr>
      <w:bookmarkStart w:id="4" w:name="_Toc131597976"/>
      <w:bookmarkStart w:id="5" w:name="_Toc134020194"/>
      <w:r w:rsidRPr="0055056D">
        <w:rPr>
          <w:lang w:val="en-US"/>
        </w:rPr>
        <w:lastRenderedPageBreak/>
        <w:t>Introduction: Rule of Law threats conform dissensus actions</w:t>
      </w:r>
      <w:bookmarkEnd w:id="4"/>
      <w:bookmarkEnd w:id="5"/>
    </w:p>
    <w:p w14:paraId="63AB3ACA" w14:textId="7D5B5B43" w:rsidR="000B542F" w:rsidRPr="0055056D" w:rsidRDefault="000B542F" w:rsidP="000B542F">
      <w:pPr>
        <w:pStyle w:val="MBT"/>
        <w:rPr>
          <w:i/>
          <w:iCs/>
          <w:color w:val="FF0000"/>
          <w:lang w:val="en-US"/>
        </w:rPr>
      </w:pPr>
      <w:r w:rsidRPr="0055056D">
        <w:rPr>
          <w:i/>
          <w:iCs/>
          <w:color w:val="FF0000"/>
          <w:lang w:val="en-US"/>
        </w:rPr>
        <w:t>This factsheet shall analyze the existence and the use of rule of law instruments to face dissensus threatening democratic principles at a national level. Hence, it examines how national legal norms and governance instruments might react to breaches of the rule of law.</w:t>
      </w:r>
    </w:p>
    <w:p w14:paraId="3AFB48C0" w14:textId="77777777" w:rsidR="000B542F" w:rsidRPr="0055056D" w:rsidRDefault="000B542F" w:rsidP="000B542F">
      <w:pPr>
        <w:pStyle w:val="MBT"/>
        <w:rPr>
          <w:i/>
          <w:iCs/>
          <w:color w:val="FF0000"/>
          <w:lang w:val="en-US"/>
        </w:rPr>
      </w:pPr>
      <w:r w:rsidRPr="0055056D">
        <w:rPr>
          <w:i/>
          <w:iCs/>
          <w:color w:val="FF0000"/>
          <w:lang w:val="en-US"/>
        </w:rPr>
        <w:t xml:space="preserve">For the purpose of this work, dissensus is to be understood as the expression of a social, political and legal clash/conflict, which manifests itself in different national and supranational institutional and non-institutional arenas (parliamentary arenas, constitutional arenas, public sphere, technocratic and expert arenas…) driven by political, social, legal actors, including state and non-state actors, seeking to maintain liberal democracy, to replace liberal democracy or to restructure liberal democracy. </w:t>
      </w:r>
    </w:p>
    <w:p w14:paraId="5522C0C5" w14:textId="77777777" w:rsidR="000B542F" w:rsidRPr="0055056D" w:rsidRDefault="000B542F" w:rsidP="000B542F">
      <w:pPr>
        <w:pStyle w:val="MBT"/>
        <w:rPr>
          <w:i/>
          <w:iCs/>
          <w:color w:val="FF0000"/>
          <w:lang w:val="en-US"/>
        </w:rPr>
      </w:pPr>
      <w:r w:rsidRPr="0055056D">
        <w:rPr>
          <w:i/>
          <w:iCs/>
          <w:color w:val="FF0000"/>
          <w:lang w:val="en-US"/>
        </w:rPr>
        <w:t xml:space="preserve">Examples of dissenting action can be found in populist or nationalist movements seeking to subvert democratic principles, fundamental rights, and the rule of law. In parallel, there are specific measures or rules established in each country to protect the respect of democratic principles. </w:t>
      </w:r>
    </w:p>
    <w:p w14:paraId="314A294C" w14:textId="77777777" w:rsidR="000B542F" w:rsidRPr="0055056D" w:rsidRDefault="000B542F" w:rsidP="000B542F">
      <w:pPr>
        <w:pStyle w:val="MBT"/>
        <w:rPr>
          <w:i/>
          <w:iCs/>
          <w:color w:val="FF0000"/>
          <w:lang w:val="en-US"/>
        </w:rPr>
      </w:pPr>
      <w:r w:rsidRPr="0055056D">
        <w:rPr>
          <w:i/>
          <w:iCs/>
          <w:color w:val="FF0000"/>
          <w:lang w:val="en-US"/>
        </w:rPr>
        <w:t xml:space="preserve">At EU level the rule of law tool kit is composed of: </w:t>
      </w:r>
    </w:p>
    <w:p w14:paraId="051F1963" w14:textId="2F1BB59F" w:rsidR="000B542F" w:rsidRPr="0055056D" w:rsidRDefault="000B542F" w:rsidP="000B542F">
      <w:pPr>
        <w:pStyle w:val="MBTbullets"/>
        <w:rPr>
          <w:i/>
          <w:iCs/>
          <w:color w:val="FF0000"/>
          <w:lang w:val="en-US"/>
        </w:rPr>
      </w:pPr>
      <w:r w:rsidRPr="0055056D">
        <w:rPr>
          <w:i/>
          <w:color w:val="FF0000"/>
          <w:lang w:val="en-US"/>
        </w:rPr>
        <w:t>Article 7 TEU</w:t>
      </w:r>
      <w:r w:rsidRPr="0055056D">
        <w:rPr>
          <w:i/>
          <w:iCs/>
          <w:color w:val="FF0000"/>
          <w:lang w:val="en-US"/>
        </w:rPr>
        <w:t xml:space="preserve"> to protect institutional system, fundamental rights and democratic principles including control mechanisms of citizens’ right to voting, participation to decision making, legislative initiative, access to </w:t>
      </w:r>
      <w:proofErr w:type="gramStart"/>
      <w:r w:rsidRPr="0055056D">
        <w:rPr>
          <w:i/>
          <w:iCs/>
          <w:color w:val="FF0000"/>
          <w:lang w:val="en-US"/>
        </w:rPr>
        <w:t>justice</w:t>
      </w:r>
      <w:proofErr w:type="gramEnd"/>
      <w:r w:rsidRPr="0055056D">
        <w:rPr>
          <w:i/>
          <w:iCs/>
          <w:color w:val="FF0000"/>
          <w:lang w:val="en-US"/>
        </w:rPr>
        <w:t xml:space="preserve"> </w:t>
      </w:r>
    </w:p>
    <w:p w14:paraId="151D971A" w14:textId="55134F48" w:rsidR="000B542F" w:rsidRPr="0055056D" w:rsidRDefault="000B542F" w:rsidP="000B542F">
      <w:pPr>
        <w:pStyle w:val="MBTbullets"/>
        <w:rPr>
          <w:i/>
          <w:iCs/>
          <w:color w:val="FF0000"/>
          <w:lang w:val="en-US"/>
        </w:rPr>
      </w:pPr>
      <w:r w:rsidRPr="0055056D">
        <w:rPr>
          <w:i/>
          <w:iCs/>
          <w:color w:val="FF0000"/>
          <w:lang w:val="en-US"/>
        </w:rPr>
        <w:t xml:space="preserve">The </w:t>
      </w:r>
      <w:r w:rsidRPr="0055056D">
        <w:rPr>
          <w:i/>
          <w:color w:val="FF0000"/>
          <w:lang w:val="en-US"/>
        </w:rPr>
        <w:t>Infringement Proceeding</w:t>
      </w:r>
      <w:r w:rsidRPr="0055056D">
        <w:rPr>
          <w:i/>
          <w:iCs/>
          <w:color w:val="FF0000"/>
          <w:lang w:val="en-US"/>
        </w:rPr>
        <w:t xml:space="preserve"> </w:t>
      </w:r>
    </w:p>
    <w:p w14:paraId="2B3A7366" w14:textId="60D551AC" w:rsidR="000B542F" w:rsidRPr="0055056D" w:rsidRDefault="000B542F" w:rsidP="000B542F">
      <w:pPr>
        <w:pStyle w:val="MBTbullets"/>
        <w:rPr>
          <w:i/>
          <w:iCs/>
          <w:color w:val="FF0000"/>
          <w:lang w:val="en-US"/>
        </w:rPr>
      </w:pPr>
      <w:r w:rsidRPr="0055056D">
        <w:rPr>
          <w:i/>
          <w:iCs/>
          <w:color w:val="FF0000"/>
          <w:lang w:val="en-US"/>
        </w:rPr>
        <w:t xml:space="preserve">The Preliminary Reference Procedure </w:t>
      </w:r>
    </w:p>
    <w:p w14:paraId="7C69D74F" w14:textId="69A02E69" w:rsidR="000B542F" w:rsidRPr="0055056D" w:rsidRDefault="000B542F" w:rsidP="000B542F">
      <w:pPr>
        <w:pStyle w:val="MBTbullets"/>
        <w:rPr>
          <w:i/>
          <w:iCs/>
          <w:color w:val="FF0000"/>
          <w:lang w:val="en-US"/>
        </w:rPr>
      </w:pPr>
      <w:r w:rsidRPr="0055056D">
        <w:rPr>
          <w:i/>
          <w:iCs/>
          <w:color w:val="FF0000"/>
          <w:lang w:val="en-US"/>
        </w:rPr>
        <w:t xml:space="preserve">The Charter of Fundamental Rights </w:t>
      </w:r>
    </w:p>
    <w:p w14:paraId="0375E7F1" w14:textId="77777777" w:rsidR="000B542F" w:rsidRPr="0055056D" w:rsidRDefault="000B542F" w:rsidP="000B542F">
      <w:pPr>
        <w:pStyle w:val="MBT"/>
        <w:rPr>
          <w:i/>
          <w:iCs/>
          <w:color w:val="FF0000"/>
          <w:lang w:val="en-US"/>
        </w:rPr>
      </w:pPr>
      <w:r w:rsidRPr="0055056D">
        <w:rPr>
          <w:i/>
          <w:iCs/>
          <w:color w:val="FF0000"/>
          <w:lang w:val="en-US"/>
        </w:rPr>
        <w:t xml:space="preserve">Tools within EU Legislation </w:t>
      </w:r>
    </w:p>
    <w:p w14:paraId="5D4FADF0" w14:textId="77777777" w:rsidR="000B542F" w:rsidRPr="0055056D" w:rsidRDefault="000B542F" w:rsidP="000B542F">
      <w:pPr>
        <w:pStyle w:val="MBTbullets"/>
        <w:rPr>
          <w:i/>
          <w:iCs/>
          <w:color w:val="FF0000"/>
          <w:lang w:val="en-US"/>
        </w:rPr>
      </w:pPr>
      <w:r w:rsidRPr="0055056D">
        <w:rPr>
          <w:i/>
          <w:iCs/>
          <w:color w:val="FF0000"/>
          <w:lang w:val="en-US"/>
        </w:rPr>
        <w:t xml:space="preserve">The EU Justice Scoreboard </w:t>
      </w:r>
    </w:p>
    <w:p w14:paraId="54D0C287" w14:textId="77777777" w:rsidR="000B542F" w:rsidRPr="0055056D" w:rsidRDefault="000B542F" w:rsidP="000B542F">
      <w:pPr>
        <w:pStyle w:val="MBTbullets"/>
        <w:rPr>
          <w:i/>
          <w:iCs/>
          <w:color w:val="FF0000"/>
          <w:lang w:val="en-US"/>
        </w:rPr>
      </w:pPr>
      <w:r w:rsidRPr="0055056D">
        <w:rPr>
          <w:i/>
          <w:iCs/>
          <w:color w:val="FF0000"/>
          <w:lang w:val="en-US"/>
        </w:rPr>
        <w:t xml:space="preserve">The Cooperation and Verification Mechanism </w:t>
      </w:r>
    </w:p>
    <w:p w14:paraId="67C395EC" w14:textId="77777777" w:rsidR="000B542F" w:rsidRPr="0055056D" w:rsidRDefault="000B542F" w:rsidP="000B542F">
      <w:pPr>
        <w:pStyle w:val="MBTbullets"/>
        <w:rPr>
          <w:i/>
          <w:iCs/>
          <w:color w:val="FF0000"/>
          <w:lang w:val="en-US"/>
        </w:rPr>
      </w:pPr>
      <w:r w:rsidRPr="0055056D">
        <w:rPr>
          <w:i/>
          <w:iCs/>
          <w:color w:val="FF0000"/>
          <w:lang w:val="en-US"/>
        </w:rPr>
        <w:t xml:space="preserve">The Technical Support Instrument and its precedents </w:t>
      </w:r>
    </w:p>
    <w:p w14:paraId="555B799E" w14:textId="77777777" w:rsidR="000B542F" w:rsidRPr="0055056D" w:rsidRDefault="000B542F" w:rsidP="000B542F">
      <w:pPr>
        <w:pStyle w:val="MBTbullets"/>
        <w:rPr>
          <w:i/>
          <w:iCs/>
          <w:color w:val="FF0000"/>
          <w:lang w:val="en-US"/>
        </w:rPr>
      </w:pPr>
      <w:r w:rsidRPr="0055056D">
        <w:rPr>
          <w:i/>
          <w:iCs/>
          <w:color w:val="FF0000"/>
          <w:lang w:val="en-US"/>
        </w:rPr>
        <w:t>The Protection of the EU Financial Interests</w:t>
      </w:r>
    </w:p>
    <w:p w14:paraId="3155780B" w14:textId="72AB2F7D" w:rsidR="000B542F" w:rsidRPr="0055056D" w:rsidRDefault="000B542F" w:rsidP="000B542F">
      <w:pPr>
        <w:pStyle w:val="MBTbullets"/>
        <w:rPr>
          <w:i/>
          <w:iCs/>
          <w:color w:val="FF0000"/>
          <w:lang w:val="en-US"/>
        </w:rPr>
      </w:pPr>
      <w:r w:rsidRPr="0055056D">
        <w:rPr>
          <w:i/>
          <w:iCs/>
          <w:color w:val="FF0000"/>
          <w:lang w:val="en-US"/>
        </w:rPr>
        <w:t>Rule of Law Conditionality Regulation</w:t>
      </w:r>
    </w:p>
    <w:p w14:paraId="35E2E367" w14:textId="68CEA962" w:rsidR="00227E08" w:rsidRPr="0055056D" w:rsidRDefault="000B542F" w:rsidP="000B542F">
      <w:pPr>
        <w:pStyle w:val="MBT"/>
        <w:rPr>
          <w:color w:val="000000" w:themeColor="text1"/>
          <w:lang w:val="en-US"/>
        </w:rPr>
      </w:pPr>
      <w:r w:rsidRPr="0055056D">
        <w:rPr>
          <w:i/>
          <w:iCs/>
          <w:color w:val="FF0000"/>
          <w:lang w:val="en-US"/>
        </w:rPr>
        <w:t xml:space="preserve">At national level, the </w:t>
      </w:r>
      <w:proofErr w:type="gramStart"/>
      <w:r w:rsidRPr="0055056D">
        <w:rPr>
          <w:i/>
          <w:iCs/>
          <w:color w:val="FF0000"/>
          <w:lang w:val="en-US"/>
        </w:rPr>
        <w:t>existence</w:t>
      </w:r>
      <w:proofErr w:type="gramEnd"/>
      <w:r w:rsidRPr="0055056D">
        <w:rPr>
          <w:i/>
          <w:iCs/>
          <w:color w:val="FF0000"/>
          <w:lang w:val="en-US"/>
        </w:rPr>
        <w:t xml:space="preserve"> and the use of rule of law instruments to face dissensus threatening democratic principles might be established in national Constitutions or national toolkits. Please try to identify measures that either have a similar function to those at EU level or implement the EU legislative measures at national level. </w:t>
      </w:r>
    </w:p>
    <w:p w14:paraId="5EB9F69B" w14:textId="78DDD819" w:rsidR="004F5BC4" w:rsidRPr="0055056D" w:rsidRDefault="004D525F" w:rsidP="00710BA0">
      <w:pPr>
        <w:pStyle w:val="MBT"/>
      </w:pPr>
      <w:r w:rsidRPr="0055056D">
        <w:rPr>
          <w:color w:val="000000" w:themeColor="text1"/>
          <w:lang w:val="en-US"/>
        </w:rPr>
        <w:t xml:space="preserve">Hungary is a parliamentary Republic with a unicameral </w:t>
      </w:r>
      <w:r w:rsidR="00627453" w:rsidRPr="0055056D">
        <w:rPr>
          <w:color w:val="000000" w:themeColor="text1"/>
          <w:lang w:val="en-US"/>
        </w:rPr>
        <w:t>National Assembly (</w:t>
      </w:r>
      <w:r w:rsidR="001F4901" w:rsidRPr="0055056D">
        <w:rPr>
          <w:color w:val="000000" w:themeColor="text1"/>
          <w:lang w:val="en-US"/>
        </w:rPr>
        <w:t>the Parliament)</w:t>
      </w:r>
      <w:r w:rsidR="00C22B7D" w:rsidRPr="0055056D">
        <w:rPr>
          <w:color w:val="000000" w:themeColor="text1"/>
          <w:lang w:val="en-US"/>
        </w:rPr>
        <w:t xml:space="preserve"> that</w:t>
      </w:r>
      <w:r w:rsidR="00627453" w:rsidRPr="0055056D">
        <w:rPr>
          <w:color w:val="000000" w:themeColor="text1"/>
          <w:lang w:val="en-US"/>
        </w:rPr>
        <w:t xml:space="preserve"> </w:t>
      </w:r>
      <w:r w:rsidR="00B60C07" w:rsidRPr="0055056D">
        <w:rPr>
          <w:color w:val="000000" w:themeColor="text1"/>
          <w:lang w:val="en-US"/>
        </w:rPr>
        <w:t xml:space="preserve">is </w:t>
      </w:r>
      <w:r w:rsidR="007A09E5" w:rsidRPr="0055056D">
        <w:rPr>
          <w:color w:val="000000" w:themeColor="text1"/>
          <w:lang w:val="en-US"/>
        </w:rPr>
        <w:t xml:space="preserve">the </w:t>
      </w:r>
      <w:r w:rsidR="00575C51" w:rsidRPr="0055056D">
        <w:rPr>
          <w:color w:val="000000" w:themeColor="text1"/>
          <w:lang w:val="en-US"/>
        </w:rPr>
        <w:t>principal organ of the legislature</w:t>
      </w:r>
      <w:r w:rsidR="00FC5095" w:rsidRPr="0055056D">
        <w:rPr>
          <w:color w:val="000000" w:themeColor="text1"/>
          <w:lang w:val="en-US"/>
        </w:rPr>
        <w:t xml:space="preserve"> with </w:t>
      </w:r>
      <w:r w:rsidR="00575C51" w:rsidRPr="0055056D">
        <w:rPr>
          <w:color w:val="000000" w:themeColor="text1"/>
          <w:lang w:val="en-US"/>
        </w:rPr>
        <w:t>important oversight functions over the executive</w:t>
      </w:r>
      <w:r w:rsidR="00D40A5F" w:rsidRPr="0055056D">
        <w:rPr>
          <w:color w:val="000000" w:themeColor="text1"/>
          <w:lang w:val="en-US"/>
        </w:rPr>
        <w:t xml:space="preserve"> as well</w:t>
      </w:r>
      <w:r w:rsidR="00575C51" w:rsidRPr="0055056D">
        <w:rPr>
          <w:color w:val="000000" w:themeColor="text1"/>
          <w:lang w:val="en-US"/>
        </w:rPr>
        <w:t xml:space="preserve">. The Parliament </w:t>
      </w:r>
      <w:r w:rsidRPr="0055056D">
        <w:rPr>
          <w:color w:val="000000" w:themeColor="text1"/>
          <w:lang w:val="en-US"/>
        </w:rPr>
        <w:t xml:space="preserve">adopts and </w:t>
      </w:r>
      <w:r w:rsidR="009554D1" w:rsidRPr="0055056D">
        <w:rPr>
          <w:color w:val="000000" w:themeColor="text1"/>
          <w:lang w:val="en-US"/>
        </w:rPr>
        <w:t>amends</w:t>
      </w:r>
      <w:r w:rsidR="00627AD3" w:rsidRPr="0055056D">
        <w:rPr>
          <w:color w:val="000000" w:themeColor="text1"/>
          <w:lang w:val="en-US"/>
        </w:rPr>
        <w:t xml:space="preserve"> the 2011 Fundamental Law, which is the country’s</w:t>
      </w:r>
      <w:r w:rsidR="009554D1" w:rsidRPr="0055056D">
        <w:rPr>
          <w:color w:val="000000" w:themeColor="text1"/>
          <w:lang w:val="en-US"/>
        </w:rPr>
        <w:t xml:space="preserve"> </w:t>
      </w:r>
      <w:r w:rsidR="00627AD3" w:rsidRPr="0055056D">
        <w:rPr>
          <w:color w:val="000000" w:themeColor="text1"/>
          <w:lang w:val="en-US"/>
        </w:rPr>
        <w:t>c</w:t>
      </w:r>
      <w:r w:rsidR="009554D1" w:rsidRPr="0055056D">
        <w:rPr>
          <w:color w:val="000000" w:themeColor="text1"/>
          <w:lang w:val="en-US"/>
        </w:rPr>
        <w:t>onstitution</w:t>
      </w:r>
      <w:r w:rsidR="00932407" w:rsidRPr="0055056D">
        <w:rPr>
          <w:color w:val="000000" w:themeColor="text1"/>
          <w:lang w:val="en-US"/>
        </w:rPr>
        <w:t>.</w:t>
      </w:r>
      <w:r w:rsidR="00B71F55" w:rsidRPr="0055056D">
        <w:rPr>
          <w:color w:val="000000" w:themeColor="text1"/>
          <w:lang w:val="en-US"/>
        </w:rPr>
        <w:t xml:space="preserve"> </w:t>
      </w:r>
      <w:r w:rsidR="00627AD3" w:rsidRPr="0055056D">
        <w:rPr>
          <w:color w:val="000000" w:themeColor="text1"/>
          <w:lang w:val="en-US"/>
        </w:rPr>
        <w:t>Its legislative powers also extend to</w:t>
      </w:r>
      <w:r w:rsidR="00455323" w:rsidRPr="0055056D">
        <w:rPr>
          <w:color w:val="000000" w:themeColor="text1"/>
          <w:lang w:val="en-US"/>
        </w:rPr>
        <w:t xml:space="preserve"> ordinary laws as well as to</w:t>
      </w:r>
      <w:r w:rsidR="00627AD3" w:rsidRPr="0055056D">
        <w:rPr>
          <w:color w:val="000000" w:themeColor="text1"/>
          <w:lang w:val="en-US"/>
        </w:rPr>
        <w:t xml:space="preserve"> the so</w:t>
      </w:r>
      <w:r w:rsidR="009554D1" w:rsidRPr="0055056D">
        <w:rPr>
          <w:color w:val="000000" w:themeColor="text1"/>
          <w:lang w:val="en-US"/>
        </w:rPr>
        <w:t xml:space="preserve">-called </w:t>
      </w:r>
      <w:r w:rsidR="00B957DE" w:rsidRPr="0055056D">
        <w:rPr>
          <w:color w:val="000000" w:themeColor="text1"/>
          <w:lang w:val="en-US"/>
        </w:rPr>
        <w:t>cardinal laws</w:t>
      </w:r>
      <w:r w:rsidR="009554D1" w:rsidRPr="0055056D">
        <w:rPr>
          <w:color w:val="000000" w:themeColor="text1"/>
          <w:lang w:val="en-US"/>
        </w:rPr>
        <w:t xml:space="preserve"> (</w:t>
      </w:r>
      <w:proofErr w:type="spellStart"/>
      <w:r w:rsidR="009554D1" w:rsidRPr="0055056D">
        <w:rPr>
          <w:i/>
          <w:color w:val="000000" w:themeColor="text1"/>
          <w:lang w:val="en-US"/>
        </w:rPr>
        <w:t>sarkalatos</w:t>
      </w:r>
      <w:proofErr w:type="spellEnd"/>
      <w:r w:rsidR="009554D1" w:rsidRPr="0055056D">
        <w:rPr>
          <w:i/>
          <w:color w:val="000000" w:themeColor="text1"/>
          <w:lang w:val="en-US"/>
        </w:rPr>
        <w:t xml:space="preserve"> </w:t>
      </w:r>
      <w:proofErr w:type="spellStart"/>
      <w:r w:rsidR="009554D1" w:rsidRPr="0055056D">
        <w:rPr>
          <w:i/>
          <w:color w:val="000000" w:themeColor="text1"/>
          <w:lang w:val="en-US"/>
        </w:rPr>
        <w:t>törvenyek</w:t>
      </w:r>
      <w:proofErr w:type="spellEnd"/>
      <w:r w:rsidR="00B71F55" w:rsidRPr="0055056D">
        <w:rPr>
          <w:color w:val="000000" w:themeColor="text1"/>
          <w:lang w:val="en-US"/>
        </w:rPr>
        <w:t>) that</w:t>
      </w:r>
      <w:r w:rsidR="0079064F" w:rsidRPr="0055056D">
        <w:rPr>
          <w:color w:val="000000" w:themeColor="text1"/>
          <w:lang w:val="en-US"/>
        </w:rPr>
        <w:t xml:space="preserve"> are special legislative acts that complement the Fundamental Law and contain the </w:t>
      </w:r>
      <w:r w:rsidR="00455323" w:rsidRPr="0055056D">
        <w:rPr>
          <w:color w:val="000000" w:themeColor="text1"/>
          <w:lang w:val="en-US"/>
        </w:rPr>
        <w:t>implementing</w:t>
      </w:r>
      <w:r w:rsidR="0079064F" w:rsidRPr="0055056D">
        <w:rPr>
          <w:color w:val="000000" w:themeColor="text1"/>
          <w:lang w:val="en-US"/>
        </w:rPr>
        <w:t xml:space="preserve"> rules of constitutional rights and democratic institutions</w:t>
      </w:r>
      <w:r w:rsidR="00453608" w:rsidRPr="0055056D">
        <w:rPr>
          <w:color w:val="000000" w:themeColor="text1"/>
          <w:lang w:val="en-US"/>
        </w:rPr>
        <w:t xml:space="preserve"> </w:t>
      </w:r>
      <w:r w:rsidR="0079064F" w:rsidRPr="0055056D">
        <w:rPr>
          <w:color w:val="000000" w:themeColor="text1"/>
          <w:lang w:val="en-US"/>
        </w:rPr>
        <w:t xml:space="preserve">covering </w:t>
      </w:r>
      <w:r w:rsidR="00991086" w:rsidRPr="0055056D">
        <w:rPr>
          <w:color w:val="000000" w:themeColor="text1"/>
          <w:lang w:val="en-US"/>
        </w:rPr>
        <w:t>35 issue areas specified by the Fundamental Law</w:t>
      </w:r>
      <w:r w:rsidR="00FF6276" w:rsidRPr="0055056D">
        <w:rPr>
          <w:rStyle w:val="Rimandonotaapidipagina"/>
          <w:color w:val="000000" w:themeColor="text1"/>
          <w:lang w:val="en-US"/>
        </w:rPr>
        <w:footnoteReference w:id="2"/>
      </w:r>
      <w:r w:rsidR="00FF6276" w:rsidRPr="0055056D">
        <w:rPr>
          <w:color w:val="000000" w:themeColor="text1"/>
          <w:lang w:val="en-US"/>
        </w:rPr>
        <w:t>. The cardinal laws</w:t>
      </w:r>
      <w:r w:rsidR="00453A53" w:rsidRPr="0055056D">
        <w:rPr>
          <w:color w:val="000000" w:themeColor="text1"/>
          <w:lang w:val="en-US"/>
        </w:rPr>
        <w:t xml:space="preserve"> </w:t>
      </w:r>
      <w:r w:rsidR="00B71F55" w:rsidRPr="0055056D">
        <w:rPr>
          <w:color w:val="000000" w:themeColor="text1"/>
          <w:lang w:val="en-US"/>
        </w:rPr>
        <w:t xml:space="preserve">complement the </w:t>
      </w:r>
      <w:r w:rsidR="00F33576" w:rsidRPr="0055056D">
        <w:rPr>
          <w:color w:val="000000" w:themeColor="text1"/>
          <w:lang w:val="en-US"/>
        </w:rPr>
        <w:t>C</w:t>
      </w:r>
      <w:r w:rsidR="00B71F55" w:rsidRPr="0055056D">
        <w:rPr>
          <w:color w:val="000000" w:themeColor="text1"/>
          <w:lang w:val="en-US"/>
        </w:rPr>
        <w:t xml:space="preserve">onstitution </w:t>
      </w:r>
      <w:r w:rsidR="00E10AAF" w:rsidRPr="0055056D">
        <w:rPr>
          <w:color w:val="000000" w:themeColor="text1"/>
          <w:lang w:val="en-US"/>
        </w:rPr>
        <w:t xml:space="preserve">and lay out </w:t>
      </w:r>
      <w:r w:rsidR="008B3CE9" w:rsidRPr="0055056D">
        <w:rPr>
          <w:color w:val="000000" w:themeColor="text1"/>
          <w:lang w:val="en-US"/>
        </w:rPr>
        <w:t>its implementation measures</w:t>
      </w:r>
      <w:r w:rsidR="00453608" w:rsidRPr="0055056D">
        <w:rPr>
          <w:color w:val="000000" w:themeColor="text1"/>
          <w:lang w:val="en-US"/>
        </w:rPr>
        <w:t xml:space="preserve"> </w:t>
      </w:r>
      <w:r w:rsidR="00C67222" w:rsidRPr="0055056D">
        <w:rPr>
          <w:color w:val="000000" w:themeColor="text1"/>
          <w:lang w:val="en-US"/>
        </w:rPr>
        <w:t xml:space="preserve">both </w:t>
      </w:r>
      <w:r w:rsidR="00BF4E7B" w:rsidRPr="0055056D">
        <w:rPr>
          <w:color w:val="000000" w:themeColor="text1"/>
          <w:lang w:val="en-US"/>
        </w:rPr>
        <w:t>regarding</w:t>
      </w:r>
      <w:r w:rsidR="00516D0A" w:rsidRPr="0055056D">
        <w:rPr>
          <w:color w:val="000000" w:themeColor="text1"/>
          <w:lang w:val="en-US"/>
        </w:rPr>
        <w:t xml:space="preserve"> </w:t>
      </w:r>
      <w:r w:rsidR="00C67222" w:rsidRPr="0055056D">
        <w:rPr>
          <w:color w:val="000000" w:themeColor="text1"/>
          <w:lang w:val="en-US"/>
        </w:rPr>
        <w:t xml:space="preserve">the </w:t>
      </w:r>
      <w:r w:rsidR="00516D0A" w:rsidRPr="0055056D">
        <w:rPr>
          <w:color w:val="000000" w:themeColor="text1"/>
          <w:lang w:val="en-US"/>
        </w:rPr>
        <w:t xml:space="preserve">institutions </w:t>
      </w:r>
      <w:r w:rsidR="00567B92" w:rsidRPr="0055056D">
        <w:rPr>
          <w:color w:val="000000" w:themeColor="text1"/>
          <w:lang w:val="en-US"/>
        </w:rPr>
        <w:t>and</w:t>
      </w:r>
      <w:r w:rsidR="00516D0A" w:rsidRPr="0055056D">
        <w:rPr>
          <w:color w:val="000000" w:themeColor="text1"/>
          <w:lang w:val="en-US"/>
        </w:rPr>
        <w:t xml:space="preserve"> the exercise of fundamental rights</w:t>
      </w:r>
      <w:r w:rsidR="00DD2781" w:rsidRPr="0055056D">
        <w:rPr>
          <w:rStyle w:val="Rimandonotaapidipagina"/>
          <w:color w:val="000000" w:themeColor="text1"/>
          <w:lang w:val="en-US"/>
        </w:rPr>
        <w:footnoteReference w:id="3"/>
      </w:r>
      <w:r w:rsidR="00516D0A" w:rsidRPr="0055056D">
        <w:rPr>
          <w:color w:val="000000" w:themeColor="text1"/>
          <w:lang w:val="en-US"/>
        </w:rPr>
        <w:t xml:space="preserve">. </w:t>
      </w:r>
      <w:r w:rsidR="00574D60" w:rsidRPr="0055056D">
        <w:rPr>
          <w:color w:val="000000" w:themeColor="text1"/>
          <w:lang w:val="en-US"/>
        </w:rPr>
        <w:t xml:space="preserve">The </w:t>
      </w:r>
      <w:r w:rsidR="00B21F77" w:rsidRPr="0055056D">
        <w:rPr>
          <w:color w:val="000000" w:themeColor="text1"/>
          <w:lang w:val="en-US"/>
        </w:rPr>
        <w:t>Parliament also elects the most important public officials, including the President of the Republic</w:t>
      </w:r>
      <w:r w:rsidR="00362BD1" w:rsidRPr="0055056D">
        <w:rPr>
          <w:color w:val="000000" w:themeColor="text1"/>
          <w:lang w:val="en-US"/>
        </w:rPr>
        <w:t>.</w:t>
      </w:r>
      <w:r w:rsidR="00710BA0" w:rsidRPr="0055056D">
        <w:rPr>
          <w:color w:val="000000" w:themeColor="text1"/>
          <w:lang w:val="en-US"/>
        </w:rPr>
        <w:t xml:space="preserve"> </w:t>
      </w:r>
      <w:r w:rsidR="002439CF" w:rsidRPr="0055056D">
        <w:rPr>
          <w:color w:val="000000" w:themeColor="text1"/>
          <w:lang w:val="en-US"/>
        </w:rPr>
        <w:t xml:space="preserve">There is no </w:t>
      </w:r>
      <w:r w:rsidR="006377E9" w:rsidRPr="0055056D">
        <w:rPr>
          <w:color w:val="000000" w:themeColor="text1"/>
          <w:lang w:val="en-US"/>
        </w:rPr>
        <w:t>national rule of law toolkit</w:t>
      </w:r>
      <w:r w:rsidR="00E603EC" w:rsidRPr="0055056D">
        <w:rPr>
          <w:color w:val="000000" w:themeColor="text1"/>
          <w:lang w:val="en-US"/>
        </w:rPr>
        <w:t xml:space="preserve"> as such i</w:t>
      </w:r>
      <w:r w:rsidR="0027085C" w:rsidRPr="0055056D">
        <w:rPr>
          <w:color w:val="000000" w:themeColor="text1"/>
          <w:lang w:val="en-US"/>
        </w:rPr>
        <w:t>n place, however, various</w:t>
      </w:r>
      <w:r w:rsidR="001A715C" w:rsidRPr="0055056D">
        <w:rPr>
          <w:color w:val="000000" w:themeColor="text1"/>
          <w:lang w:val="en-US"/>
        </w:rPr>
        <w:t xml:space="preserve"> </w:t>
      </w:r>
      <w:r w:rsidR="0027085C" w:rsidRPr="0055056D">
        <w:rPr>
          <w:color w:val="000000" w:themeColor="text1"/>
          <w:lang w:val="en-US"/>
        </w:rPr>
        <w:t xml:space="preserve">processes </w:t>
      </w:r>
      <w:r w:rsidR="00437F76" w:rsidRPr="0055056D">
        <w:rPr>
          <w:color w:val="000000" w:themeColor="text1"/>
          <w:lang w:val="en-US"/>
        </w:rPr>
        <w:t xml:space="preserve">can be considered to </w:t>
      </w:r>
      <w:r w:rsidR="00894988" w:rsidRPr="0055056D">
        <w:rPr>
          <w:color w:val="000000" w:themeColor="text1"/>
          <w:lang w:val="en-US"/>
        </w:rPr>
        <w:t>perform</w:t>
      </w:r>
      <w:r w:rsidR="00437F76" w:rsidRPr="0055056D">
        <w:rPr>
          <w:color w:val="000000" w:themeColor="text1"/>
          <w:lang w:val="en-US"/>
        </w:rPr>
        <w:t xml:space="preserve"> functions t</w:t>
      </w:r>
      <w:r w:rsidR="008E2354" w:rsidRPr="0055056D">
        <w:rPr>
          <w:color w:val="000000" w:themeColor="text1"/>
          <w:lang w:val="en-US"/>
        </w:rPr>
        <w:t xml:space="preserve">hat can safeguard </w:t>
      </w:r>
      <w:r w:rsidR="00365400" w:rsidRPr="0055056D">
        <w:rPr>
          <w:color w:val="000000" w:themeColor="text1"/>
          <w:lang w:val="en-US"/>
        </w:rPr>
        <w:t>the rule of law</w:t>
      </w:r>
      <w:r w:rsidR="00894988" w:rsidRPr="0055056D">
        <w:rPr>
          <w:color w:val="000000" w:themeColor="text1"/>
          <w:lang w:val="en-US"/>
        </w:rPr>
        <w:t xml:space="preserve">. The </w:t>
      </w:r>
      <w:r w:rsidR="00133ED7" w:rsidRPr="0055056D">
        <w:rPr>
          <w:color w:val="000000" w:themeColor="text1"/>
          <w:lang w:val="en-US"/>
        </w:rPr>
        <w:t xml:space="preserve">extent to which those in fact provide </w:t>
      </w:r>
      <w:r w:rsidR="0028052E" w:rsidRPr="0055056D">
        <w:rPr>
          <w:color w:val="000000" w:themeColor="text1"/>
          <w:lang w:val="en-US"/>
        </w:rPr>
        <w:t xml:space="preserve">protection </w:t>
      </w:r>
      <w:r w:rsidR="00C15523" w:rsidRPr="0055056D">
        <w:rPr>
          <w:color w:val="000000" w:themeColor="text1"/>
          <w:lang w:val="en-US"/>
        </w:rPr>
        <w:t>against</w:t>
      </w:r>
      <w:r w:rsidR="0028052E" w:rsidRPr="0055056D">
        <w:rPr>
          <w:color w:val="000000" w:themeColor="text1"/>
          <w:lang w:val="en-US"/>
        </w:rPr>
        <w:t xml:space="preserve"> threats</w:t>
      </w:r>
      <w:r w:rsidR="006610D2" w:rsidRPr="0055056D">
        <w:rPr>
          <w:color w:val="000000" w:themeColor="text1"/>
          <w:lang w:val="en-US"/>
        </w:rPr>
        <w:t xml:space="preserve"> to the rule of law</w:t>
      </w:r>
      <w:r w:rsidR="00023877" w:rsidRPr="0055056D">
        <w:rPr>
          <w:color w:val="000000" w:themeColor="text1"/>
          <w:lang w:val="en-US"/>
        </w:rPr>
        <w:t xml:space="preserve"> </w:t>
      </w:r>
      <w:r w:rsidR="00792ACF" w:rsidRPr="0055056D">
        <w:rPr>
          <w:color w:val="000000" w:themeColor="text1"/>
          <w:lang w:val="en-US"/>
        </w:rPr>
        <w:t xml:space="preserve">are called into question </w:t>
      </w:r>
      <w:r w:rsidR="00071EC9" w:rsidRPr="0055056D">
        <w:rPr>
          <w:color w:val="000000" w:themeColor="text1"/>
          <w:lang w:val="en-US"/>
        </w:rPr>
        <w:t>by</w:t>
      </w:r>
      <w:r w:rsidR="00792ACF" w:rsidRPr="0055056D">
        <w:rPr>
          <w:color w:val="000000" w:themeColor="text1"/>
          <w:lang w:val="en-US"/>
        </w:rPr>
        <w:t xml:space="preserve"> a</w:t>
      </w:r>
      <w:r w:rsidR="00023877" w:rsidRPr="0055056D">
        <w:rPr>
          <w:color w:val="000000" w:themeColor="text1"/>
          <w:lang w:val="en-US"/>
        </w:rPr>
        <w:t xml:space="preserve"> </w:t>
      </w:r>
      <w:r w:rsidR="00A56F3E" w:rsidRPr="0055056D">
        <w:rPr>
          <w:color w:val="000000" w:themeColor="text1"/>
          <w:lang w:val="en-US"/>
        </w:rPr>
        <w:t>national context</w:t>
      </w:r>
      <w:r w:rsidR="00792ACF" w:rsidRPr="0055056D">
        <w:rPr>
          <w:color w:val="000000" w:themeColor="text1"/>
          <w:lang w:val="en-US"/>
        </w:rPr>
        <w:t xml:space="preserve"> </w:t>
      </w:r>
      <w:r w:rsidR="00792ACF" w:rsidRPr="0055056D">
        <w:rPr>
          <w:color w:val="000000" w:themeColor="text1"/>
          <w:lang w:val="en-US"/>
        </w:rPr>
        <w:lastRenderedPageBreak/>
        <w:t xml:space="preserve">marred by </w:t>
      </w:r>
      <w:r w:rsidR="0071668D" w:rsidRPr="0055056D">
        <w:rPr>
          <w:color w:val="000000" w:themeColor="text1"/>
          <w:lang w:val="en-US"/>
        </w:rPr>
        <w:t>rule of law</w:t>
      </w:r>
      <w:r w:rsidR="00792ACF" w:rsidRPr="0055056D">
        <w:rPr>
          <w:color w:val="000000" w:themeColor="text1"/>
          <w:lang w:val="en-US"/>
        </w:rPr>
        <w:t xml:space="preserve"> violations</w:t>
      </w:r>
      <w:r w:rsidR="0071668D" w:rsidRPr="0055056D">
        <w:rPr>
          <w:color w:val="000000" w:themeColor="text1"/>
          <w:lang w:val="en-US"/>
        </w:rPr>
        <w:t xml:space="preserve"> </w:t>
      </w:r>
      <w:r w:rsidR="004A63C4" w:rsidRPr="0055056D">
        <w:rPr>
          <w:color w:val="000000" w:themeColor="text1"/>
          <w:lang w:val="en-US"/>
        </w:rPr>
        <w:t>as explained in the sections</w:t>
      </w:r>
      <w:r w:rsidR="00927C40" w:rsidRPr="0055056D">
        <w:rPr>
          <w:color w:val="000000" w:themeColor="text1"/>
          <w:lang w:val="en-US"/>
        </w:rPr>
        <w:t xml:space="preserve"> below</w:t>
      </w:r>
      <w:r w:rsidR="004A63C4" w:rsidRPr="0055056D">
        <w:rPr>
          <w:color w:val="000000" w:themeColor="text1"/>
          <w:lang w:val="en-US"/>
        </w:rPr>
        <w:t>.</w:t>
      </w:r>
      <w:r w:rsidR="00B2426A" w:rsidRPr="0055056D">
        <w:rPr>
          <w:color w:val="000000" w:themeColor="text1"/>
          <w:lang w:val="en-US"/>
        </w:rPr>
        <w:t xml:space="preserve"> </w:t>
      </w:r>
    </w:p>
    <w:p w14:paraId="7DAD8AE9" w14:textId="3466FE56" w:rsidR="00131239" w:rsidRPr="0055056D" w:rsidRDefault="00131239" w:rsidP="00AD3D7D">
      <w:pPr>
        <w:pStyle w:val="MH1"/>
        <w:rPr>
          <w:lang w:val="en-US"/>
        </w:rPr>
      </w:pPr>
      <w:bookmarkStart w:id="6" w:name="_Toc134020195"/>
      <w:r w:rsidRPr="0055056D">
        <w:rPr>
          <w:lang w:val="en-US"/>
        </w:rPr>
        <w:lastRenderedPageBreak/>
        <w:t xml:space="preserve">The Instruments Provided by </w:t>
      </w:r>
      <w:r w:rsidR="000E5B20" w:rsidRPr="0055056D">
        <w:rPr>
          <w:lang w:val="en-US"/>
        </w:rPr>
        <w:t>Hungarian</w:t>
      </w:r>
      <w:r w:rsidRPr="0055056D">
        <w:rPr>
          <w:lang w:val="en-US"/>
        </w:rPr>
        <w:t xml:space="preserve"> </w:t>
      </w:r>
      <w:proofErr w:type="gramStart"/>
      <w:r w:rsidRPr="0055056D">
        <w:rPr>
          <w:lang w:val="en-US"/>
        </w:rPr>
        <w:t>law</w:t>
      </w:r>
      <w:bookmarkEnd w:id="6"/>
      <w:proofErr w:type="gramEnd"/>
    </w:p>
    <w:p w14:paraId="05B71611" w14:textId="60620238" w:rsidR="00131239" w:rsidRPr="0055056D" w:rsidRDefault="00131239" w:rsidP="00F35C05">
      <w:pPr>
        <w:pStyle w:val="MBT"/>
        <w:rPr>
          <w:i/>
          <w:iCs/>
          <w:color w:val="FF0000"/>
          <w:lang w:val="en-US"/>
        </w:rPr>
      </w:pPr>
      <w:r w:rsidRPr="0055056D">
        <w:rPr>
          <w:i/>
          <w:iCs/>
          <w:color w:val="FF0000"/>
          <w:lang w:val="en-US"/>
        </w:rPr>
        <w:t xml:space="preserve">The principle of the rule of law includes the principle of </w:t>
      </w:r>
      <w:r w:rsidRPr="0055056D">
        <w:rPr>
          <w:i/>
          <w:color w:val="FF0000"/>
          <w:lang w:val="en-US"/>
        </w:rPr>
        <w:t>legality</w:t>
      </w:r>
      <w:r w:rsidRPr="0055056D">
        <w:rPr>
          <w:i/>
          <w:iCs/>
          <w:color w:val="FF0000"/>
          <w:lang w:val="en-US"/>
        </w:rPr>
        <w:t xml:space="preserve">, which implies a transparent, accountable, democratic, and pluralistic process for </w:t>
      </w:r>
      <w:r w:rsidRPr="0055056D">
        <w:rPr>
          <w:i/>
          <w:color w:val="FF0000"/>
          <w:lang w:val="en-US"/>
        </w:rPr>
        <w:t>enacting law</w:t>
      </w:r>
      <w:r w:rsidR="00E7732C" w:rsidRPr="0055056D">
        <w:rPr>
          <w:i/>
          <w:color w:val="FF0000"/>
          <w:lang w:val="en-US"/>
        </w:rPr>
        <w:t>s</w:t>
      </w:r>
      <w:r w:rsidR="00E7732C" w:rsidRPr="0055056D">
        <w:rPr>
          <w:i/>
          <w:iCs/>
          <w:color w:val="FF0000"/>
          <w:lang w:val="en-US"/>
        </w:rPr>
        <w:t xml:space="preserve">, respect of </w:t>
      </w:r>
      <w:r w:rsidR="00E7732C" w:rsidRPr="0055056D">
        <w:rPr>
          <w:i/>
          <w:color w:val="FF0000"/>
          <w:lang w:val="en-US"/>
        </w:rPr>
        <w:t>fundamental right</w:t>
      </w:r>
      <w:r w:rsidRPr="0055056D">
        <w:rPr>
          <w:i/>
          <w:color w:val="FF0000"/>
          <w:lang w:val="en-US"/>
        </w:rPr>
        <w:t>s</w:t>
      </w:r>
      <w:r w:rsidR="00E7732C" w:rsidRPr="0055056D">
        <w:rPr>
          <w:i/>
          <w:iCs/>
          <w:color w:val="FF0000"/>
          <w:lang w:val="en-US"/>
        </w:rPr>
        <w:t xml:space="preserve"> and </w:t>
      </w:r>
      <w:r w:rsidR="00E7732C" w:rsidRPr="0055056D">
        <w:rPr>
          <w:i/>
          <w:color w:val="FF0000"/>
          <w:lang w:val="en-US"/>
        </w:rPr>
        <w:t>equality</w:t>
      </w:r>
      <w:r w:rsidR="00E7732C" w:rsidRPr="0055056D">
        <w:rPr>
          <w:i/>
          <w:iCs/>
          <w:color w:val="FF0000"/>
          <w:lang w:val="en-US"/>
        </w:rPr>
        <w:t xml:space="preserve"> before the law</w:t>
      </w:r>
      <w:r w:rsidRPr="0055056D">
        <w:rPr>
          <w:i/>
          <w:iCs/>
          <w:color w:val="FF0000"/>
          <w:lang w:val="en-US"/>
        </w:rPr>
        <w:t xml:space="preserve">; </w:t>
      </w:r>
      <w:r w:rsidRPr="0055056D">
        <w:rPr>
          <w:i/>
          <w:color w:val="FF0000"/>
          <w:lang w:val="en-US"/>
        </w:rPr>
        <w:t>legal certainty</w:t>
      </w:r>
      <w:r w:rsidRPr="0055056D">
        <w:rPr>
          <w:i/>
          <w:iCs/>
          <w:color w:val="FF0000"/>
          <w:lang w:val="en-US"/>
        </w:rPr>
        <w:t xml:space="preserve"> and prohibition of </w:t>
      </w:r>
      <w:r w:rsidRPr="0055056D">
        <w:rPr>
          <w:i/>
          <w:color w:val="FF0000"/>
          <w:lang w:val="en-US"/>
        </w:rPr>
        <w:t>arbitrariness</w:t>
      </w:r>
      <w:r w:rsidRPr="0055056D">
        <w:rPr>
          <w:i/>
          <w:iCs/>
          <w:color w:val="FF0000"/>
          <w:lang w:val="en-US"/>
        </w:rPr>
        <w:t xml:space="preserve"> of the executive powers; independent and </w:t>
      </w:r>
      <w:r w:rsidRPr="0055056D">
        <w:rPr>
          <w:i/>
          <w:color w:val="FF0000"/>
          <w:lang w:val="en-US"/>
        </w:rPr>
        <w:t>impartial courts</w:t>
      </w:r>
      <w:r w:rsidRPr="0055056D">
        <w:rPr>
          <w:i/>
          <w:iCs/>
          <w:color w:val="FF0000"/>
          <w:lang w:val="en-US"/>
        </w:rPr>
        <w:t>; effective judicial review</w:t>
      </w:r>
      <w:r w:rsidR="00E7732C" w:rsidRPr="0055056D">
        <w:rPr>
          <w:i/>
          <w:iCs/>
          <w:color w:val="FF0000"/>
          <w:lang w:val="en-US"/>
        </w:rPr>
        <w:t>.</w:t>
      </w:r>
    </w:p>
    <w:p w14:paraId="5BD642BF" w14:textId="77777777" w:rsidR="00131239" w:rsidRPr="0055056D" w:rsidRDefault="00131239" w:rsidP="00F35C05">
      <w:pPr>
        <w:pStyle w:val="MBT"/>
        <w:rPr>
          <w:i/>
          <w:iCs/>
          <w:color w:val="FF0000"/>
          <w:lang w:val="en-US"/>
        </w:rPr>
      </w:pPr>
      <w:r w:rsidRPr="0055056D">
        <w:rPr>
          <w:i/>
          <w:iCs/>
          <w:color w:val="FF0000"/>
          <w:lang w:val="en-US"/>
        </w:rPr>
        <w:t xml:space="preserve">Please explain </w:t>
      </w:r>
      <w:r w:rsidRPr="0055056D">
        <w:rPr>
          <w:i/>
          <w:color w:val="FF0000"/>
          <w:lang w:val="en-US"/>
        </w:rPr>
        <w:t xml:space="preserve">how these principles are protected in national law. </w:t>
      </w:r>
      <w:r w:rsidRPr="0055056D">
        <w:rPr>
          <w:i/>
          <w:iCs/>
          <w:color w:val="FF0000"/>
          <w:lang w:val="en-US"/>
        </w:rPr>
        <w:t xml:space="preserve">Please focus on key examples of the use of </w:t>
      </w:r>
      <w:r w:rsidRPr="0055056D">
        <w:rPr>
          <w:i/>
          <w:color w:val="FF0000"/>
          <w:lang w:val="en-US"/>
        </w:rPr>
        <w:t>constitutional/legislative/governance instruments in situations of mounting dissensus</w:t>
      </w:r>
      <w:r w:rsidRPr="0055056D">
        <w:rPr>
          <w:i/>
          <w:iCs/>
          <w:color w:val="FF0000"/>
          <w:lang w:val="en-US"/>
        </w:rPr>
        <w:t xml:space="preserve">. In section 2.5, please focus on the role, if any, of </w:t>
      </w:r>
      <w:r w:rsidRPr="0055056D">
        <w:rPr>
          <w:i/>
          <w:color w:val="FF0000"/>
          <w:lang w:val="en-US"/>
        </w:rPr>
        <w:t>national courts.</w:t>
      </w:r>
      <w:r w:rsidRPr="0055056D">
        <w:rPr>
          <w:i/>
          <w:iCs/>
          <w:color w:val="FF0000"/>
          <w:lang w:val="en-US"/>
        </w:rPr>
        <w:t xml:space="preserve">  </w:t>
      </w:r>
    </w:p>
    <w:p w14:paraId="6AB79347" w14:textId="77777777" w:rsidR="0033711B" w:rsidRPr="0055056D" w:rsidRDefault="0033711B" w:rsidP="00F35C05">
      <w:pPr>
        <w:pStyle w:val="MBT"/>
        <w:rPr>
          <w:i/>
          <w:iCs/>
          <w:color w:val="FF0000"/>
          <w:lang w:val="en-US"/>
        </w:rPr>
      </w:pPr>
    </w:p>
    <w:p w14:paraId="6E7FFA7C" w14:textId="77777777" w:rsidR="0033711B" w:rsidRPr="0055056D" w:rsidRDefault="0033711B" w:rsidP="0033711B">
      <w:pPr>
        <w:pStyle w:val="MH2"/>
        <w:jc w:val="left"/>
      </w:pPr>
      <w:r w:rsidRPr="0055056D">
        <w:t xml:space="preserve">Protection against threats to democratic principles </w:t>
      </w:r>
    </w:p>
    <w:p w14:paraId="6CB134C6" w14:textId="01BE2A7F" w:rsidR="0033711B" w:rsidRPr="0055056D" w:rsidRDefault="0033711B" w:rsidP="0033711B">
      <w:pPr>
        <w:widowControl w:val="0"/>
        <w:spacing w:before="120" w:after="120"/>
        <w:jc w:val="both"/>
        <w:rPr>
          <w:rFonts w:ascii="Arial" w:hAnsi="Arial"/>
          <w:bCs/>
          <w:color w:val="FF0000"/>
          <w:sz w:val="22"/>
          <w:szCs w:val="22"/>
        </w:rPr>
      </w:pPr>
      <w:r w:rsidRPr="0055056D">
        <w:rPr>
          <w:rFonts w:ascii="Arial" w:hAnsi="Arial"/>
          <w:bCs/>
          <w:i/>
          <w:iCs/>
          <w:color w:val="FF0000"/>
          <w:sz w:val="22"/>
          <w:szCs w:val="22"/>
        </w:rPr>
        <w:t>This section should be devoted to any attempts to affect the institutional structure or balance of powers</w:t>
      </w:r>
      <w:r w:rsidRPr="0055056D">
        <w:rPr>
          <w:rFonts w:ascii="Arial" w:hAnsi="Arial"/>
          <w:bCs/>
          <w:color w:val="FF0000"/>
          <w:sz w:val="22"/>
          <w:szCs w:val="22"/>
        </w:rPr>
        <w:t xml:space="preserve">. </w:t>
      </w:r>
    </w:p>
    <w:p w14:paraId="20FAF84F" w14:textId="77777777" w:rsidR="00F30A15" w:rsidRPr="0055056D" w:rsidRDefault="00F30A15" w:rsidP="00F35C05">
      <w:pPr>
        <w:pStyle w:val="MBT"/>
        <w:rPr>
          <w:i/>
          <w:iCs/>
          <w:color w:val="000000" w:themeColor="text1"/>
          <w:lang w:val="en-US"/>
        </w:rPr>
      </w:pPr>
    </w:p>
    <w:p w14:paraId="3AF8E92A" w14:textId="4E390F34" w:rsidR="00F33576" w:rsidRPr="0055056D" w:rsidRDefault="00C270F3" w:rsidP="00C270F3">
      <w:pPr>
        <w:pStyle w:val="MBT"/>
        <w:rPr>
          <w:color w:val="000000" w:themeColor="text1"/>
          <w:lang w:val="en-US"/>
        </w:rPr>
      </w:pPr>
      <w:r w:rsidRPr="0055056D">
        <w:rPr>
          <w:color w:val="000000" w:themeColor="text1"/>
          <w:lang w:val="en-US"/>
        </w:rPr>
        <w:t xml:space="preserve">The passing of the </w:t>
      </w:r>
      <w:r w:rsidRPr="0055056D">
        <w:rPr>
          <w:b/>
          <w:color w:val="000000" w:themeColor="text1"/>
          <w:lang w:val="en-US"/>
        </w:rPr>
        <w:t>Fundamental Law of Hungary</w:t>
      </w:r>
      <w:r w:rsidRPr="0055056D">
        <w:rPr>
          <w:color w:val="000000" w:themeColor="text1"/>
          <w:lang w:val="en-US"/>
        </w:rPr>
        <w:t xml:space="preserve"> was the signature act </w:t>
      </w:r>
      <w:r w:rsidR="00802BEF" w:rsidRPr="0055056D">
        <w:rPr>
          <w:color w:val="000000" w:themeColor="text1"/>
          <w:lang w:val="en-US"/>
        </w:rPr>
        <w:t>in the</w:t>
      </w:r>
      <w:r w:rsidRPr="0055056D">
        <w:rPr>
          <w:color w:val="000000" w:themeColor="text1"/>
          <w:lang w:val="en-US"/>
        </w:rPr>
        <w:t xml:space="preserve"> process </w:t>
      </w:r>
      <w:r w:rsidR="00802BEF" w:rsidRPr="0055056D">
        <w:rPr>
          <w:color w:val="000000" w:themeColor="text1"/>
          <w:lang w:val="en-US"/>
        </w:rPr>
        <w:t>of</w:t>
      </w:r>
      <w:r w:rsidRPr="0055056D">
        <w:rPr>
          <w:color w:val="000000" w:themeColor="text1"/>
          <w:lang w:val="en-US"/>
        </w:rPr>
        <w:t xml:space="preserve"> democratic backsliding in Hungary understood broadly as </w:t>
      </w:r>
      <w:r w:rsidR="000B39A0" w:rsidRPr="0055056D">
        <w:rPr>
          <w:color w:val="000000" w:themeColor="text1"/>
          <w:lang w:val="en-US"/>
        </w:rPr>
        <w:t>“</w:t>
      </w:r>
      <w:r w:rsidRPr="0055056D">
        <w:rPr>
          <w:color w:val="000000" w:themeColor="text1"/>
          <w:lang w:val="en-US"/>
        </w:rPr>
        <w:t>the state-led debilitation or elimination of the political institutions sustaining an existing democracy”</w:t>
      </w:r>
      <w:r w:rsidRPr="0055056D">
        <w:rPr>
          <w:rStyle w:val="Rimandonotaapidipagina"/>
          <w:color w:val="000000" w:themeColor="text1"/>
          <w:lang w:val="en-US"/>
        </w:rPr>
        <w:footnoteReference w:id="4"/>
      </w:r>
      <w:r w:rsidRPr="0055056D">
        <w:rPr>
          <w:color w:val="000000" w:themeColor="text1"/>
          <w:lang w:val="en-US"/>
        </w:rPr>
        <w:t xml:space="preserve">. </w:t>
      </w:r>
      <w:r w:rsidR="00714D46" w:rsidRPr="0055056D">
        <w:rPr>
          <w:color w:val="000000" w:themeColor="text1"/>
          <w:lang w:val="en-US"/>
        </w:rPr>
        <w:t xml:space="preserve">The Fundamental Law sits on the top of the hierarchy of norms in the domestic legal </w:t>
      </w:r>
      <w:r w:rsidR="0070337C" w:rsidRPr="0055056D">
        <w:rPr>
          <w:color w:val="000000" w:themeColor="text1"/>
          <w:lang w:val="en-US"/>
        </w:rPr>
        <w:t>order</w:t>
      </w:r>
      <w:r w:rsidR="00714D46" w:rsidRPr="0055056D">
        <w:rPr>
          <w:color w:val="000000" w:themeColor="text1"/>
          <w:lang w:val="en-US"/>
        </w:rPr>
        <w:t xml:space="preserve"> and </w:t>
      </w:r>
      <w:r w:rsidR="00DE609F" w:rsidRPr="0055056D">
        <w:rPr>
          <w:color w:val="000000" w:themeColor="text1"/>
          <w:lang w:val="en-US"/>
        </w:rPr>
        <w:t xml:space="preserve">since 2011 </w:t>
      </w:r>
      <w:r w:rsidR="00714D46" w:rsidRPr="0055056D">
        <w:rPr>
          <w:color w:val="000000" w:themeColor="text1"/>
          <w:lang w:val="en-US"/>
        </w:rPr>
        <w:t xml:space="preserve">has continued to provide both the ideological and legal framework </w:t>
      </w:r>
      <w:r w:rsidR="000E4627" w:rsidRPr="0055056D">
        <w:rPr>
          <w:color w:val="000000" w:themeColor="text1"/>
          <w:lang w:val="en-US"/>
        </w:rPr>
        <w:t>of the now Fifth</w:t>
      </w:r>
      <w:r w:rsidR="00E81CA0" w:rsidRPr="0055056D">
        <w:rPr>
          <w:color w:val="000000" w:themeColor="text1"/>
          <w:lang w:val="en-US"/>
        </w:rPr>
        <w:t xml:space="preserve"> </w:t>
      </w:r>
      <w:r w:rsidR="00714D46" w:rsidRPr="0055056D">
        <w:rPr>
          <w:color w:val="000000" w:themeColor="text1"/>
          <w:lang w:val="en-US"/>
        </w:rPr>
        <w:t>Orbán government</w:t>
      </w:r>
      <w:r w:rsidR="0030088A" w:rsidRPr="0055056D">
        <w:rPr>
          <w:color w:val="000000" w:themeColor="text1"/>
          <w:lang w:val="en-US"/>
        </w:rPr>
        <w:t>.</w:t>
      </w:r>
      <w:r w:rsidR="00714D46" w:rsidRPr="0055056D">
        <w:rPr>
          <w:color w:val="000000" w:themeColor="text1"/>
          <w:lang w:val="en-US"/>
        </w:rPr>
        <w:t xml:space="preserve"> </w:t>
      </w:r>
      <w:r w:rsidR="006D12DD" w:rsidRPr="0055056D">
        <w:rPr>
          <w:color w:val="000000" w:themeColor="text1"/>
          <w:lang w:val="en-US"/>
        </w:rPr>
        <w:t>In the process, Prime Minister Orbán</w:t>
      </w:r>
      <w:r w:rsidR="008E5886" w:rsidRPr="0055056D">
        <w:rPr>
          <w:color w:val="000000" w:themeColor="text1"/>
          <w:lang w:val="en-US"/>
        </w:rPr>
        <w:t xml:space="preserve"> has entrenched </w:t>
      </w:r>
      <w:r w:rsidR="006D12DD" w:rsidRPr="0055056D">
        <w:rPr>
          <w:color w:val="000000" w:themeColor="text1"/>
          <w:lang w:val="en-US"/>
        </w:rPr>
        <w:t>his r</w:t>
      </w:r>
      <w:r w:rsidR="00776D4A" w:rsidRPr="0055056D">
        <w:rPr>
          <w:color w:val="000000" w:themeColor="text1"/>
          <w:lang w:val="en-US"/>
        </w:rPr>
        <w:t>ole</w:t>
      </w:r>
      <w:r w:rsidR="00714D46" w:rsidRPr="0055056D">
        <w:rPr>
          <w:color w:val="000000" w:themeColor="text1"/>
          <w:lang w:val="en-US"/>
        </w:rPr>
        <w:t xml:space="preserve"> as an illiberal nationalist leader</w:t>
      </w:r>
      <w:r w:rsidR="00F33576" w:rsidRPr="0055056D">
        <w:rPr>
          <w:color w:val="000000" w:themeColor="text1"/>
          <w:lang w:val="en-US"/>
        </w:rPr>
        <w:t>.</w:t>
      </w:r>
      <w:r w:rsidR="00AC2574" w:rsidRPr="0055056D">
        <w:rPr>
          <w:color w:val="000000" w:themeColor="text1"/>
          <w:lang w:val="en-US"/>
        </w:rPr>
        <w:t xml:space="preserve"> </w:t>
      </w:r>
      <w:r w:rsidR="00F33576" w:rsidRPr="0055056D">
        <w:rPr>
          <w:color w:val="000000" w:themeColor="text1"/>
          <w:lang w:val="en-US"/>
        </w:rPr>
        <w:t>I</w:t>
      </w:r>
      <w:r w:rsidR="00FC189C" w:rsidRPr="0055056D">
        <w:rPr>
          <w:color w:val="000000" w:themeColor="text1"/>
          <w:lang w:val="en-US"/>
        </w:rPr>
        <w:t xml:space="preserve">n 2022 </w:t>
      </w:r>
      <w:r w:rsidR="00F33576" w:rsidRPr="0055056D">
        <w:rPr>
          <w:color w:val="000000" w:themeColor="text1"/>
          <w:lang w:val="en-US"/>
        </w:rPr>
        <w:t xml:space="preserve">he </w:t>
      </w:r>
      <w:r w:rsidR="00FC189C" w:rsidRPr="0055056D">
        <w:rPr>
          <w:color w:val="000000" w:themeColor="text1"/>
          <w:lang w:val="en-US"/>
        </w:rPr>
        <w:t>once again</w:t>
      </w:r>
      <w:r w:rsidR="00B4655C" w:rsidRPr="0055056D">
        <w:rPr>
          <w:color w:val="000000" w:themeColor="text1"/>
          <w:lang w:val="en-US"/>
        </w:rPr>
        <w:t xml:space="preserve"> </w:t>
      </w:r>
      <w:r w:rsidR="00F33576" w:rsidRPr="0055056D">
        <w:rPr>
          <w:color w:val="000000" w:themeColor="text1"/>
          <w:lang w:val="en-US"/>
        </w:rPr>
        <w:t xml:space="preserve">reasserted </w:t>
      </w:r>
      <w:r w:rsidR="00714D46" w:rsidRPr="0055056D">
        <w:rPr>
          <w:color w:val="000000" w:themeColor="text1"/>
          <w:lang w:val="en-US"/>
        </w:rPr>
        <w:t>his power</w:t>
      </w:r>
      <w:r w:rsidR="00B4655C" w:rsidRPr="0055056D">
        <w:rPr>
          <w:color w:val="000000" w:themeColor="text1"/>
          <w:lang w:val="en-US"/>
        </w:rPr>
        <w:t xml:space="preserve"> by</w:t>
      </w:r>
      <w:r w:rsidR="00714D46" w:rsidRPr="0055056D">
        <w:rPr>
          <w:color w:val="000000" w:themeColor="text1"/>
          <w:lang w:val="en-US"/>
        </w:rPr>
        <w:t xml:space="preserve"> winning a fourth consecutive term in the parliamentary elections</w:t>
      </w:r>
      <w:r w:rsidR="00FD10B5" w:rsidRPr="0055056D">
        <w:rPr>
          <w:rStyle w:val="Rimandonotaapidipagina"/>
          <w:color w:val="000000" w:themeColor="text1"/>
          <w:lang w:val="en-US"/>
        </w:rPr>
        <w:t xml:space="preserve"> </w:t>
      </w:r>
      <w:r w:rsidR="00714D46" w:rsidRPr="0055056D">
        <w:rPr>
          <w:rStyle w:val="Rimandonotaapidipagina"/>
          <w:color w:val="000000" w:themeColor="text1"/>
          <w:lang w:val="en-US"/>
        </w:rPr>
        <w:footnoteReference w:id="5"/>
      </w:r>
      <w:r w:rsidR="00714D46" w:rsidRPr="0055056D">
        <w:rPr>
          <w:color w:val="000000" w:themeColor="text1"/>
          <w:lang w:val="en-US"/>
        </w:rPr>
        <w:t>.</w:t>
      </w:r>
      <w:r w:rsidR="00B4599C" w:rsidRPr="0055056D">
        <w:rPr>
          <w:color w:val="000000" w:themeColor="text1"/>
          <w:lang w:val="en-US"/>
        </w:rPr>
        <w:t xml:space="preserve"> </w:t>
      </w:r>
    </w:p>
    <w:p w14:paraId="06651E85" w14:textId="7E091ACC" w:rsidR="00C270F3" w:rsidRPr="0055056D" w:rsidRDefault="00C270F3" w:rsidP="00C270F3">
      <w:pPr>
        <w:pStyle w:val="MBT"/>
        <w:rPr>
          <w:color w:val="000000" w:themeColor="text1"/>
          <w:lang w:val="en-US"/>
        </w:rPr>
      </w:pPr>
      <w:r w:rsidRPr="0055056D">
        <w:rPr>
          <w:color w:val="000000" w:themeColor="text1"/>
          <w:lang w:val="en-US"/>
        </w:rPr>
        <w:t xml:space="preserve">The period of 2010 – 2020 saw the systemic deterioration of the checks and balances eroding the separation of powers within the institutional system as well as continued attacks on fundamental rights and democratic principles. </w:t>
      </w:r>
      <w:r w:rsidR="00AF4034" w:rsidRPr="0055056D">
        <w:rPr>
          <w:color w:val="000000" w:themeColor="text1"/>
          <w:lang w:val="en-US"/>
        </w:rPr>
        <w:t>In</w:t>
      </w:r>
      <w:r w:rsidRPr="0055056D">
        <w:rPr>
          <w:color w:val="000000" w:themeColor="text1"/>
          <w:lang w:val="en-US"/>
        </w:rPr>
        <w:t xml:space="preserve"> 2023, </w:t>
      </w:r>
      <w:r w:rsidR="00966CF0" w:rsidRPr="0055056D">
        <w:rPr>
          <w:color w:val="000000" w:themeColor="text1"/>
          <w:lang w:val="en-US"/>
        </w:rPr>
        <w:t>Freedom House’s</w:t>
      </w:r>
      <w:r w:rsidRPr="0055056D">
        <w:rPr>
          <w:color w:val="000000" w:themeColor="text1"/>
          <w:lang w:val="en-US"/>
        </w:rPr>
        <w:t xml:space="preserve"> Freedom of the World Report </w:t>
      </w:r>
      <w:r w:rsidR="00AF4034" w:rsidRPr="0055056D">
        <w:rPr>
          <w:color w:val="000000" w:themeColor="text1"/>
          <w:lang w:val="en-US"/>
        </w:rPr>
        <w:t>continue</w:t>
      </w:r>
      <w:r w:rsidR="00F33576" w:rsidRPr="0055056D">
        <w:rPr>
          <w:color w:val="000000" w:themeColor="text1"/>
          <w:lang w:val="en-US"/>
        </w:rPr>
        <w:t>d</w:t>
      </w:r>
      <w:r w:rsidR="00AF4034" w:rsidRPr="0055056D">
        <w:rPr>
          <w:color w:val="000000" w:themeColor="text1"/>
          <w:lang w:val="en-US"/>
        </w:rPr>
        <w:t xml:space="preserve"> to rank</w:t>
      </w:r>
      <w:r w:rsidRPr="0055056D">
        <w:rPr>
          <w:color w:val="000000" w:themeColor="text1"/>
          <w:lang w:val="en-US"/>
        </w:rPr>
        <w:t xml:space="preserve"> Hungary as only ‘partially free’</w:t>
      </w:r>
      <w:r w:rsidR="00F33576" w:rsidRPr="0055056D">
        <w:rPr>
          <w:color w:val="000000" w:themeColor="text1"/>
          <w:lang w:val="en-US"/>
        </w:rPr>
        <w:t>,</w:t>
      </w:r>
      <w:r w:rsidRPr="0055056D">
        <w:rPr>
          <w:color w:val="000000" w:themeColor="text1"/>
          <w:lang w:val="en-US"/>
        </w:rPr>
        <w:t xml:space="preserve"> reporting a staggering 22</w:t>
      </w:r>
      <w:r w:rsidR="00E31E94" w:rsidRPr="0055056D">
        <w:rPr>
          <w:color w:val="000000" w:themeColor="text1"/>
          <w:lang w:val="en-US"/>
        </w:rPr>
        <w:t>-</w:t>
      </w:r>
      <w:r w:rsidRPr="0055056D">
        <w:rPr>
          <w:color w:val="000000" w:themeColor="text1"/>
          <w:lang w:val="en-US"/>
        </w:rPr>
        <w:t xml:space="preserve">point decline in its democracy score </w:t>
      </w:r>
      <w:r w:rsidR="00D63418" w:rsidRPr="0055056D">
        <w:rPr>
          <w:color w:val="000000" w:themeColor="text1"/>
          <w:lang w:val="en-US"/>
        </w:rPr>
        <w:t>over</w:t>
      </w:r>
      <w:r w:rsidRPr="0055056D">
        <w:rPr>
          <w:color w:val="000000" w:themeColor="text1"/>
          <w:lang w:val="en-US"/>
        </w:rPr>
        <w:t xml:space="preserve"> the past </w:t>
      </w:r>
      <w:r w:rsidR="00D63418" w:rsidRPr="0055056D">
        <w:rPr>
          <w:color w:val="000000" w:themeColor="text1"/>
          <w:lang w:val="en-US"/>
        </w:rPr>
        <w:t>ten</w:t>
      </w:r>
      <w:r w:rsidRPr="0055056D">
        <w:rPr>
          <w:color w:val="000000" w:themeColor="text1"/>
          <w:lang w:val="en-US"/>
        </w:rPr>
        <w:t xml:space="preserve"> years</w:t>
      </w:r>
      <w:r w:rsidRPr="0055056D">
        <w:rPr>
          <w:rStyle w:val="Rimandonotaapidipagina"/>
          <w:color w:val="000000" w:themeColor="text1"/>
          <w:lang w:val="en-US"/>
        </w:rPr>
        <w:footnoteReference w:id="6"/>
      </w:r>
      <w:r w:rsidRPr="0055056D">
        <w:rPr>
          <w:color w:val="000000" w:themeColor="text1"/>
          <w:lang w:val="en-US"/>
        </w:rPr>
        <w:t>. The V-Dem 2023 Democracy Report echoes similar concerns and continues to report sustained decline in the state of democracy in Hungary, underlining that the country “has returned to electoral autocracy”</w:t>
      </w:r>
      <w:r w:rsidRPr="0055056D">
        <w:rPr>
          <w:rStyle w:val="Rimandonotaapidipagina"/>
          <w:color w:val="000000" w:themeColor="text1"/>
          <w:lang w:val="en-US"/>
        </w:rPr>
        <w:footnoteReference w:id="7"/>
      </w:r>
      <w:r w:rsidRPr="0055056D">
        <w:rPr>
          <w:color w:val="000000" w:themeColor="text1"/>
          <w:lang w:val="en-US"/>
        </w:rPr>
        <w:t xml:space="preserve">, naming it among the top 10 </w:t>
      </w:r>
      <w:proofErr w:type="spellStart"/>
      <w:r w:rsidRPr="0055056D">
        <w:rPr>
          <w:color w:val="000000" w:themeColor="text1"/>
          <w:lang w:val="en-US"/>
        </w:rPr>
        <w:t>autocratizers</w:t>
      </w:r>
      <w:proofErr w:type="spellEnd"/>
      <w:r w:rsidRPr="0055056D">
        <w:rPr>
          <w:color w:val="000000" w:themeColor="text1"/>
          <w:lang w:val="en-US"/>
        </w:rPr>
        <w:t xml:space="preserve"> globally</w:t>
      </w:r>
      <w:r w:rsidRPr="0055056D">
        <w:rPr>
          <w:rStyle w:val="Rimandonotaapidipagina"/>
          <w:color w:val="000000" w:themeColor="text1"/>
          <w:lang w:val="en-US"/>
        </w:rPr>
        <w:footnoteReference w:id="8"/>
      </w:r>
      <w:r w:rsidRPr="0055056D">
        <w:rPr>
          <w:color w:val="000000" w:themeColor="text1"/>
          <w:lang w:val="en-US"/>
        </w:rPr>
        <w:t xml:space="preserve"> and ranking it the lowest on its democracy index among the EU Member States</w:t>
      </w:r>
      <w:r w:rsidRPr="0055056D">
        <w:rPr>
          <w:rStyle w:val="Rimandonotaapidipagina"/>
          <w:color w:val="000000" w:themeColor="text1"/>
          <w:lang w:val="en-US"/>
        </w:rPr>
        <w:footnoteReference w:id="9"/>
      </w:r>
      <w:r w:rsidRPr="0055056D">
        <w:rPr>
          <w:color w:val="000000" w:themeColor="text1"/>
          <w:lang w:val="en-US"/>
        </w:rPr>
        <w:t xml:space="preserve">. </w:t>
      </w:r>
    </w:p>
    <w:p w14:paraId="705099C6" w14:textId="0649334B" w:rsidR="00C270F3" w:rsidRPr="0055056D" w:rsidRDefault="00C270F3" w:rsidP="00C270F3">
      <w:pPr>
        <w:pStyle w:val="MBT"/>
        <w:rPr>
          <w:color w:val="000000" w:themeColor="text1"/>
          <w:lang w:val="en-US"/>
        </w:rPr>
      </w:pPr>
      <w:r w:rsidRPr="0055056D">
        <w:rPr>
          <w:color w:val="000000" w:themeColor="text1"/>
          <w:lang w:val="en-US"/>
        </w:rPr>
        <w:t xml:space="preserve">The Fundamental Law of Hungary came into force on 1 January 2012 amidst controversy - superseding the country’s 1989 </w:t>
      </w:r>
      <w:r w:rsidR="00F33576" w:rsidRPr="0055056D">
        <w:rPr>
          <w:color w:val="000000" w:themeColor="text1"/>
          <w:lang w:val="en-US"/>
        </w:rPr>
        <w:t>C</w:t>
      </w:r>
      <w:r w:rsidRPr="0055056D">
        <w:rPr>
          <w:color w:val="000000" w:themeColor="text1"/>
          <w:lang w:val="en-US"/>
        </w:rPr>
        <w:t xml:space="preserve">onstitution that marked </w:t>
      </w:r>
      <w:r w:rsidR="00536E53" w:rsidRPr="0055056D">
        <w:rPr>
          <w:color w:val="000000" w:themeColor="text1"/>
          <w:lang w:val="en-US"/>
        </w:rPr>
        <w:t>Hungary’s</w:t>
      </w:r>
      <w:r w:rsidRPr="0055056D">
        <w:rPr>
          <w:color w:val="000000" w:themeColor="text1"/>
          <w:lang w:val="en-US"/>
        </w:rPr>
        <w:t xml:space="preserve"> democratic transition from the communist era as part of the third wave of democratization, globally. The new </w:t>
      </w:r>
      <w:r w:rsidR="00F33576" w:rsidRPr="0055056D">
        <w:rPr>
          <w:color w:val="000000" w:themeColor="text1"/>
          <w:lang w:val="en-US"/>
        </w:rPr>
        <w:t>C</w:t>
      </w:r>
      <w:r w:rsidRPr="0055056D">
        <w:rPr>
          <w:color w:val="000000" w:themeColor="text1"/>
          <w:lang w:val="en-US"/>
        </w:rPr>
        <w:t xml:space="preserve">onstitution was the flagship project of the second Orbán government, which obtained a sweeping victory in the 2010 parliamentary elections that guaranteed its super-majority in the legislature. The governing majority essentially draw up the Fundamental Law single-handedly in a process that was characterized by lack of transparency, shortcomings in the dialogue between the majority and the opposition, insufficient opportunities for an adequate public debate </w:t>
      </w:r>
      <w:r w:rsidR="006B5194" w:rsidRPr="0055056D">
        <w:rPr>
          <w:color w:val="000000" w:themeColor="text1"/>
          <w:lang w:val="en-US"/>
        </w:rPr>
        <w:t>as well as</w:t>
      </w:r>
      <w:r w:rsidRPr="0055056D">
        <w:rPr>
          <w:color w:val="000000" w:themeColor="text1"/>
          <w:lang w:val="en-US"/>
        </w:rPr>
        <w:t xml:space="preserve"> a very limited timeframe - </w:t>
      </w:r>
      <w:r w:rsidRPr="0055056D">
        <w:rPr>
          <w:color w:val="000000" w:themeColor="text1"/>
          <w:lang w:val="en-US"/>
        </w:rPr>
        <w:lastRenderedPageBreak/>
        <w:t>according to the Venice Commission reflecting national</w:t>
      </w:r>
      <w:r w:rsidRPr="0055056D">
        <w:rPr>
          <w:rStyle w:val="Rimandonotaapidipagina"/>
          <w:color w:val="000000" w:themeColor="text1"/>
          <w:lang w:val="en-US"/>
        </w:rPr>
        <w:footnoteReference w:id="10"/>
      </w:r>
      <w:r w:rsidRPr="0055056D">
        <w:rPr>
          <w:color w:val="000000" w:themeColor="text1"/>
          <w:lang w:val="en-US"/>
        </w:rPr>
        <w:t xml:space="preserve"> and international criticism</w:t>
      </w:r>
      <w:r w:rsidRPr="0055056D">
        <w:rPr>
          <w:rStyle w:val="Rimandonotaapidipagina"/>
          <w:color w:val="000000" w:themeColor="text1"/>
          <w:lang w:val="en-US"/>
        </w:rPr>
        <w:footnoteReference w:id="11"/>
      </w:r>
      <w:r w:rsidRPr="0055056D">
        <w:rPr>
          <w:color w:val="000000" w:themeColor="text1"/>
          <w:lang w:val="en-US"/>
        </w:rPr>
        <w:t xml:space="preserve">. </w:t>
      </w:r>
    </w:p>
    <w:p w14:paraId="2B28B75D" w14:textId="41418270" w:rsidR="00034DD7" w:rsidRPr="0055056D" w:rsidRDefault="00C270F3" w:rsidP="00C270F3">
      <w:pPr>
        <w:pStyle w:val="MBT"/>
        <w:rPr>
          <w:color w:val="000000" w:themeColor="text1"/>
          <w:lang w:val="en-US"/>
        </w:rPr>
      </w:pPr>
      <w:r w:rsidRPr="0055056D">
        <w:rPr>
          <w:color w:val="000000" w:themeColor="text1"/>
          <w:lang w:val="en-US"/>
        </w:rPr>
        <w:t>The Fundamental Law declared Hungary to be an independent State governed by the rule of law</w:t>
      </w:r>
      <w:r w:rsidRPr="0055056D">
        <w:rPr>
          <w:rStyle w:val="Rimandonotaapidipagina"/>
          <w:color w:val="000000" w:themeColor="text1"/>
          <w:lang w:val="en-US"/>
        </w:rPr>
        <w:footnoteReference w:id="12"/>
      </w:r>
      <w:r w:rsidRPr="0055056D">
        <w:rPr>
          <w:color w:val="000000" w:themeColor="text1"/>
          <w:lang w:val="en-US"/>
        </w:rPr>
        <w:t>, in Article U specifically guaranteeing that “[t]</w:t>
      </w:r>
      <w:proofErr w:type="gramStart"/>
      <w:r w:rsidRPr="0055056D">
        <w:rPr>
          <w:color w:val="000000" w:themeColor="text1"/>
          <w:lang w:val="en-US"/>
        </w:rPr>
        <w:t>he</w:t>
      </w:r>
      <w:proofErr w:type="gramEnd"/>
      <w:r w:rsidRPr="0055056D">
        <w:rPr>
          <w:color w:val="000000" w:themeColor="text1"/>
          <w:lang w:val="en-US"/>
        </w:rPr>
        <w:t xml:space="preserve"> form of government [is] based on the rule of law”. </w:t>
      </w:r>
      <w:r w:rsidR="00A047F8" w:rsidRPr="0055056D">
        <w:rPr>
          <w:color w:val="000000" w:themeColor="text1"/>
          <w:lang w:val="en-US"/>
        </w:rPr>
        <w:t>In the lack of an express definition, the</w:t>
      </w:r>
      <w:r w:rsidRPr="0055056D">
        <w:rPr>
          <w:color w:val="000000" w:themeColor="text1"/>
          <w:lang w:val="en-US"/>
        </w:rPr>
        <w:t xml:space="preserve"> concept and content of the rule of law in the national legal context ha</w:t>
      </w:r>
      <w:r w:rsidR="00A76CB4" w:rsidRPr="0055056D">
        <w:rPr>
          <w:color w:val="000000" w:themeColor="text1"/>
          <w:lang w:val="en-US"/>
        </w:rPr>
        <w:t>ve</w:t>
      </w:r>
      <w:r w:rsidRPr="0055056D">
        <w:rPr>
          <w:color w:val="000000" w:themeColor="text1"/>
          <w:lang w:val="en-US"/>
        </w:rPr>
        <w:t xml:space="preserve"> </w:t>
      </w:r>
      <w:r w:rsidR="00A76CB4" w:rsidRPr="0055056D">
        <w:rPr>
          <w:color w:val="000000" w:themeColor="text1"/>
          <w:lang w:val="en-US"/>
        </w:rPr>
        <w:t xml:space="preserve">been clarified </w:t>
      </w:r>
      <w:r w:rsidR="00A047F8" w:rsidRPr="0055056D">
        <w:rPr>
          <w:color w:val="000000" w:themeColor="text1"/>
          <w:lang w:val="en-US"/>
        </w:rPr>
        <w:t>by</w:t>
      </w:r>
      <w:r w:rsidR="00A76CB4" w:rsidRPr="0055056D">
        <w:rPr>
          <w:color w:val="000000" w:themeColor="text1"/>
          <w:lang w:val="en-US"/>
        </w:rPr>
        <w:t xml:space="preserve"> the jurisprudence</w:t>
      </w:r>
      <w:r w:rsidRPr="0055056D">
        <w:rPr>
          <w:color w:val="000000" w:themeColor="text1"/>
          <w:lang w:val="en-US"/>
        </w:rPr>
        <w:t xml:space="preserve"> by the Constitutional Court</w:t>
      </w:r>
      <w:r w:rsidR="00E71A0E" w:rsidRPr="0055056D">
        <w:rPr>
          <w:color w:val="000000" w:themeColor="text1"/>
          <w:lang w:val="en-US"/>
        </w:rPr>
        <w:t xml:space="preserve"> (CC)</w:t>
      </w:r>
      <w:r w:rsidR="007A1EB0" w:rsidRPr="0055056D">
        <w:rPr>
          <w:color w:val="000000" w:themeColor="text1"/>
          <w:lang w:val="en-US"/>
        </w:rPr>
        <w:t>.</w:t>
      </w:r>
      <w:r w:rsidRPr="0055056D">
        <w:rPr>
          <w:color w:val="000000" w:themeColor="text1"/>
          <w:lang w:val="en-US"/>
        </w:rPr>
        <w:t xml:space="preserve"> </w:t>
      </w:r>
      <w:proofErr w:type="gramStart"/>
      <w:r w:rsidR="001310E6" w:rsidRPr="0055056D">
        <w:rPr>
          <w:color w:val="000000" w:themeColor="text1"/>
          <w:lang w:val="en-US"/>
        </w:rPr>
        <w:t>In light of</w:t>
      </w:r>
      <w:proofErr w:type="gramEnd"/>
      <w:r w:rsidR="001310E6" w:rsidRPr="0055056D">
        <w:rPr>
          <w:color w:val="000000" w:themeColor="text1"/>
          <w:lang w:val="en-US"/>
        </w:rPr>
        <w:t xml:space="preserve"> this</w:t>
      </w:r>
      <w:r w:rsidRPr="0055056D">
        <w:rPr>
          <w:color w:val="000000" w:themeColor="text1"/>
          <w:lang w:val="en-US"/>
        </w:rPr>
        <w:t xml:space="preserve">, the </w:t>
      </w:r>
      <w:r w:rsidRPr="0055056D">
        <w:rPr>
          <w:b/>
          <w:bCs w:val="0"/>
          <w:color w:val="000000" w:themeColor="text1"/>
          <w:lang w:val="en-US"/>
        </w:rPr>
        <w:t>constitutional complaint procedure</w:t>
      </w:r>
      <w:r w:rsidRPr="0055056D">
        <w:rPr>
          <w:color w:val="000000" w:themeColor="text1"/>
          <w:lang w:val="en-US"/>
        </w:rPr>
        <w:t xml:space="preserve"> can be considered as an important tool within the national legal system with the (</w:t>
      </w:r>
      <w:r w:rsidRPr="0055056D">
        <w:rPr>
          <w:i/>
          <w:iCs/>
          <w:color w:val="000000" w:themeColor="text1"/>
          <w:lang w:val="en-US"/>
        </w:rPr>
        <w:t xml:space="preserve">de </w:t>
      </w:r>
      <w:proofErr w:type="spellStart"/>
      <w:r w:rsidRPr="0055056D">
        <w:rPr>
          <w:i/>
          <w:iCs/>
          <w:color w:val="000000" w:themeColor="text1"/>
          <w:lang w:val="en-US"/>
        </w:rPr>
        <w:t>lege</w:t>
      </w:r>
      <w:proofErr w:type="spellEnd"/>
      <w:r w:rsidRPr="0055056D">
        <w:rPr>
          <w:color w:val="000000" w:themeColor="text1"/>
          <w:lang w:val="en-US"/>
        </w:rPr>
        <w:t xml:space="preserve">), </w:t>
      </w:r>
      <w:r w:rsidR="00872741" w:rsidRPr="0055056D">
        <w:rPr>
          <w:color w:val="000000" w:themeColor="text1"/>
          <w:lang w:val="en-US"/>
        </w:rPr>
        <w:t>possibility</w:t>
      </w:r>
      <w:r w:rsidRPr="0055056D">
        <w:rPr>
          <w:color w:val="000000" w:themeColor="text1"/>
          <w:lang w:val="en-US"/>
        </w:rPr>
        <w:t xml:space="preserve"> to guard the principles of the rule of law. </w:t>
      </w:r>
      <w:r w:rsidR="009E6D70" w:rsidRPr="0055056D">
        <w:rPr>
          <w:color w:val="000000" w:themeColor="text1"/>
          <w:lang w:val="en-US"/>
        </w:rPr>
        <w:t>T</w:t>
      </w:r>
      <w:r w:rsidRPr="0055056D">
        <w:rPr>
          <w:color w:val="000000" w:themeColor="text1"/>
          <w:lang w:val="en-US"/>
        </w:rPr>
        <w:t>he Constitutional Court has examined the rule of law as a question of collision of norms</w:t>
      </w:r>
      <w:r w:rsidRPr="0055056D">
        <w:rPr>
          <w:rStyle w:val="Rimandonotaapidipagina"/>
          <w:color w:val="000000" w:themeColor="text1"/>
          <w:lang w:val="en-US"/>
        </w:rPr>
        <w:footnoteReference w:id="13"/>
      </w:r>
      <w:r w:rsidRPr="0055056D">
        <w:rPr>
          <w:color w:val="000000" w:themeColor="text1"/>
          <w:lang w:val="en-US"/>
        </w:rPr>
        <w:t>, as the protection of</w:t>
      </w:r>
      <w:r w:rsidR="00F2443D" w:rsidRPr="0055056D">
        <w:rPr>
          <w:color w:val="000000" w:themeColor="text1"/>
          <w:lang w:val="en-US"/>
        </w:rPr>
        <w:t xml:space="preserve"> public</w:t>
      </w:r>
      <w:r w:rsidRPr="0055056D">
        <w:rPr>
          <w:color w:val="000000" w:themeColor="text1"/>
          <w:lang w:val="en-US"/>
        </w:rPr>
        <w:t xml:space="preserve"> trust</w:t>
      </w:r>
      <w:r w:rsidRPr="0055056D">
        <w:rPr>
          <w:rStyle w:val="Rimandonotaapidipagina"/>
          <w:color w:val="000000" w:themeColor="text1"/>
          <w:lang w:val="en-US"/>
        </w:rPr>
        <w:footnoteReference w:id="14"/>
      </w:r>
      <w:r w:rsidRPr="0055056D">
        <w:rPr>
          <w:color w:val="000000" w:themeColor="text1"/>
          <w:lang w:val="en-US"/>
        </w:rPr>
        <w:t>, as the guarantee of sufficient preparation time</w:t>
      </w:r>
      <w:r w:rsidRPr="0055056D">
        <w:rPr>
          <w:rStyle w:val="Rimandonotaapidipagina"/>
          <w:color w:val="000000" w:themeColor="text1"/>
          <w:lang w:val="en-US"/>
        </w:rPr>
        <w:footnoteReference w:id="15"/>
      </w:r>
      <w:r w:rsidRPr="0055056D">
        <w:rPr>
          <w:color w:val="000000" w:themeColor="text1"/>
          <w:lang w:val="en-US"/>
        </w:rPr>
        <w:t>, as the clarity of norms</w:t>
      </w:r>
      <w:r w:rsidRPr="0055056D">
        <w:rPr>
          <w:rStyle w:val="Rimandonotaapidipagina"/>
          <w:color w:val="000000" w:themeColor="text1"/>
          <w:lang w:val="en-US"/>
        </w:rPr>
        <w:footnoteReference w:id="16"/>
      </w:r>
      <w:r w:rsidRPr="0055056D">
        <w:rPr>
          <w:color w:val="000000" w:themeColor="text1"/>
          <w:lang w:val="en-US"/>
        </w:rPr>
        <w:t>, as the protection of acquired rights</w:t>
      </w:r>
      <w:r w:rsidRPr="0055056D">
        <w:rPr>
          <w:rStyle w:val="Rimandonotaapidipagina"/>
          <w:color w:val="000000" w:themeColor="text1"/>
          <w:lang w:val="en-US"/>
        </w:rPr>
        <w:footnoteReference w:id="17"/>
      </w:r>
      <w:r w:rsidRPr="0055056D">
        <w:rPr>
          <w:color w:val="000000" w:themeColor="text1"/>
          <w:lang w:val="en-US"/>
        </w:rPr>
        <w:t>, and as the prohibition of legislation with retrospective effect</w:t>
      </w:r>
      <w:r w:rsidRPr="0055056D">
        <w:rPr>
          <w:rStyle w:val="Rimandonotaapidipagina"/>
          <w:color w:val="000000" w:themeColor="text1"/>
          <w:lang w:val="en-US"/>
        </w:rPr>
        <w:footnoteReference w:id="18"/>
      </w:r>
      <w:r w:rsidRPr="0055056D">
        <w:rPr>
          <w:color w:val="000000" w:themeColor="text1"/>
          <w:lang w:val="en-US"/>
        </w:rPr>
        <w:t xml:space="preserve">. In addition, the </w:t>
      </w:r>
      <w:r w:rsidR="00E71A0E" w:rsidRPr="0055056D">
        <w:rPr>
          <w:color w:val="000000" w:themeColor="text1"/>
          <w:lang w:val="en-US"/>
        </w:rPr>
        <w:t>CC</w:t>
      </w:r>
      <w:r w:rsidRPr="0055056D">
        <w:rPr>
          <w:color w:val="000000" w:themeColor="text1"/>
          <w:lang w:val="en-US"/>
        </w:rPr>
        <w:t xml:space="preserve"> dealt with </w:t>
      </w:r>
      <w:r w:rsidR="00067733" w:rsidRPr="0055056D">
        <w:rPr>
          <w:color w:val="000000" w:themeColor="text1"/>
          <w:lang w:val="en-US"/>
        </w:rPr>
        <w:t>other</w:t>
      </w:r>
      <w:r w:rsidRPr="0055056D">
        <w:rPr>
          <w:color w:val="000000" w:themeColor="text1"/>
          <w:lang w:val="en-US"/>
        </w:rPr>
        <w:t xml:space="preserve"> </w:t>
      </w:r>
      <w:r w:rsidR="00067733" w:rsidRPr="0055056D">
        <w:rPr>
          <w:color w:val="000000" w:themeColor="text1"/>
          <w:lang w:val="en-US"/>
        </w:rPr>
        <w:t>elements</w:t>
      </w:r>
      <w:r w:rsidRPr="0055056D">
        <w:rPr>
          <w:color w:val="000000" w:themeColor="text1"/>
          <w:lang w:val="en-US"/>
        </w:rPr>
        <w:t xml:space="preserve"> of the rule of law in various cases</w:t>
      </w:r>
      <w:r w:rsidR="00067733" w:rsidRPr="0055056D">
        <w:rPr>
          <w:color w:val="000000" w:themeColor="text1"/>
          <w:lang w:val="en-US"/>
        </w:rPr>
        <w:t>, such as</w:t>
      </w:r>
      <w:r w:rsidRPr="0055056D">
        <w:rPr>
          <w:color w:val="000000" w:themeColor="text1"/>
          <w:lang w:val="en-US"/>
        </w:rPr>
        <w:t xml:space="preserve"> the separation of powers</w:t>
      </w:r>
      <w:r w:rsidRPr="0055056D">
        <w:rPr>
          <w:rStyle w:val="Rimandonotaapidipagina"/>
          <w:color w:val="000000" w:themeColor="text1"/>
          <w:lang w:val="en-US"/>
        </w:rPr>
        <w:footnoteReference w:id="19"/>
      </w:r>
      <w:r w:rsidRPr="0055056D">
        <w:rPr>
          <w:color w:val="000000" w:themeColor="text1"/>
          <w:lang w:val="en-US"/>
        </w:rPr>
        <w:t xml:space="preserve"> </w:t>
      </w:r>
      <w:r w:rsidR="00067733" w:rsidRPr="0055056D">
        <w:rPr>
          <w:color w:val="000000" w:themeColor="text1"/>
          <w:lang w:val="en-US"/>
        </w:rPr>
        <w:t>or</w:t>
      </w:r>
      <w:r w:rsidRPr="0055056D">
        <w:rPr>
          <w:color w:val="000000" w:themeColor="text1"/>
          <w:lang w:val="en-US"/>
        </w:rPr>
        <w:t xml:space="preserve"> democratic elections</w:t>
      </w:r>
      <w:r w:rsidRPr="0055056D">
        <w:rPr>
          <w:rStyle w:val="Rimandonotaapidipagina"/>
          <w:color w:val="000000" w:themeColor="text1"/>
          <w:lang w:val="en-US"/>
        </w:rPr>
        <w:footnoteReference w:id="20"/>
      </w:r>
      <w:r w:rsidRPr="0055056D">
        <w:rPr>
          <w:color w:val="000000" w:themeColor="text1"/>
          <w:lang w:val="en-US"/>
        </w:rPr>
        <w:t>.</w:t>
      </w:r>
      <w:r w:rsidR="003B1CEB" w:rsidRPr="0055056D">
        <w:rPr>
          <w:color w:val="000000" w:themeColor="text1"/>
          <w:lang w:val="en-US"/>
        </w:rPr>
        <w:t xml:space="preserve"> </w:t>
      </w:r>
      <w:r w:rsidR="00034DD7" w:rsidRPr="0055056D">
        <w:rPr>
          <w:color w:val="000000" w:themeColor="text1"/>
          <w:lang w:val="en-US"/>
        </w:rPr>
        <w:t>However,</w:t>
      </w:r>
      <w:r w:rsidR="005734F1" w:rsidRPr="0055056D">
        <w:rPr>
          <w:color w:val="000000" w:themeColor="text1"/>
          <w:lang w:val="en-US"/>
        </w:rPr>
        <w:t xml:space="preserve"> in practice,</w:t>
      </w:r>
      <w:r w:rsidR="00034DD7" w:rsidRPr="0055056D">
        <w:rPr>
          <w:color w:val="000000" w:themeColor="text1"/>
          <w:lang w:val="en-US"/>
        </w:rPr>
        <w:t xml:space="preserve"> none of the</w:t>
      </w:r>
      <w:r w:rsidR="005734F1" w:rsidRPr="0055056D">
        <w:rPr>
          <w:color w:val="000000" w:themeColor="text1"/>
          <w:lang w:val="en-US"/>
        </w:rPr>
        <w:t xml:space="preserve"> above</w:t>
      </w:r>
      <w:r w:rsidR="00034DD7" w:rsidRPr="0055056D">
        <w:rPr>
          <w:color w:val="000000" w:themeColor="text1"/>
          <w:lang w:val="en-US"/>
        </w:rPr>
        <w:t xml:space="preserve"> procedures </w:t>
      </w:r>
      <w:r w:rsidR="005734F1" w:rsidRPr="0055056D">
        <w:rPr>
          <w:color w:val="000000" w:themeColor="text1"/>
          <w:lang w:val="en-US"/>
        </w:rPr>
        <w:t>proved</w:t>
      </w:r>
      <w:r w:rsidR="00940EEF" w:rsidRPr="0055056D">
        <w:rPr>
          <w:color w:val="000000" w:themeColor="text1"/>
          <w:lang w:val="en-US"/>
        </w:rPr>
        <w:t xml:space="preserve"> </w:t>
      </w:r>
      <w:r w:rsidR="005734F1" w:rsidRPr="0055056D">
        <w:rPr>
          <w:color w:val="000000" w:themeColor="text1"/>
          <w:lang w:val="en-US"/>
        </w:rPr>
        <w:t>to be</w:t>
      </w:r>
      <w:r w:rsidR="00940EEF" w:rsidRPr="0055056D">
        <w:rPr>
          <w:color w:val="000000" w:themeColor="text1"/>
          <w:lang w:val="en-US"/>
        </w:rPr>
        <w:t xml:space="preserve"> effective </w:t>
      </w:r>
      <w:r w:rsidR="005A5730" w:rsidRPr="0055056D">
        <w:rPr>
          <w:color w:val="000000" w:themeColor="text1"/>
          <w:lang w:val="en-US"/>
        </w:rPr>
        <w:t>in</w:t>
      </w:r>
      <w:r w:rsidR="00940EEF" w:rsidRPr="0055056D">
        <w:rPr>
          <w:color w:val="000000" w:themeColor="text1"/>
          <w:lang w:val="en-US"/>
        </w:rPr>
        <w:t xml:space="preserve"> </w:t>
      </w:r>
      <w:r w:rsidR="005A5730" w:rsidRPr="0055056D">
        <w:rPr>
          <w:color w:val="000000" w:themeColor="text1"/>
          <w:lang w:val="en-US"/>
        </w:rPr>
        <w:t>safeguarding the system of checks and balances</w:t>
      </w:r>
      <w:r w:rsidR="00940EEF" w:rsidRPr="0055056D">
        <w:rPr>
          <w:color w:val="000000" w:themeColor="text1"/>
          <w:lang w:val="en-US"/>
        </w:rPr>
        <w:t xml:space="preserve"> in the face of the executive</w:t>
      </w:r>
      <w:r w:rsidR="003A2721" w:rsidRPr="0055056D">
        <w:rPr>
          <w:color w:val="000000" w:themeColor="text1"/>
          <w:lang w:val="en-US"/>
        </w:rPr>
        <w:t>’</w:t>
      </w:r>
      <w:r w:rsidR="00940EEF" w:rsidRPr="0055056D">
        <w:rPr>
          <w:color w:val="000000" w:themeColor="text1"/>
          <w:lang w:val="en-US"/>
        </w:rPr>
        <w:t xml:space="preserve">s </w:t>
      </w:r>
      <w:r w:rsidR="005734F1" w:rsidRPr="0055056D">
        <w:rPr>
          <w:color w:val="000000" w:themeColor="text1"/>
          <w:lang w:val="en-US"/>
        </w:rPr>
        <w:t xml:space="preserve">sustained attempts to erode </w:t>
      </w:r>
      <w:r w:rsidR="005A5730" w:rsidRPr="0055056D">
        <w:rPr>
          <w:color w:val="000000" w:themeColor="text1"/>
          <w:lang w:val="en-US"/>
        </w:rPr>
        <w:t>the rule of law</w:t>
      </w:r>
      <w:r w:rsidR="005734F1" w:rsidRPr="0055056D">
        <w:rPr>
          <w:color w:val="000000" w:themeColor="text1"/>
          <w:lang w:val="en-US"/>
        </w:rPr>
        <w:t xml:space="preserve"> (see Section 2.5).</w:t>
      </w:r>
    </w:p>
    <w:p w14:paraId="013EE5A8" w14:textId="71D9555B" w:rsidR="005109B7" w:rsidRPr="0055056D" w:rsidRDefault="00824247" w:rsidP="00C270F3">
      <w:pPr>
        <w:pStyle w:val="MBT"/>
        <w:rPr>
          <w:color w:val="000000" w:themeColor="text1"/>
          <w:lang w:val="en-US"/>
        </w:rPr>
      </w:pPr>
      <w:r w:rsidRPr="0055056D">
        <w:rPr>
          <w:color w:val="000000" w:themeColor="text1"/>
          <w:lang w:val="en-US"/>
        </w:rPr>
        <w:t xml:space="preserve">To that end the Fifth Orbán government continues to capitalize on an </w:t>
      </w:r>
      <w:r w:rsidRPr="0055056D">
        <w:rPr>
          <w:b/>
          <w:bCs w:val="0"/>
          <w:color w:val="000000" w:themeColor="text1"/>
          <w:lang w:val="en-US"/>
        </w:rPr>
        <w:t>electoral system</w:t>
      </w:r>
      <w:r w:rsidRPr="0055056D">
        <w:rPr>
          <w:color w:val="000000" w:themeColor="text1"/>
          <w:lang w:val="en-US"/>
        </w:rPr>
        <w:t xml:space="preserve"> that</w:t>
      </w:r>
      <w:r w:rsidR="009F12B5" w:rsidRPr="0055056D">
        <w:rPr>
          <w:color w:val="000000" w:themeColor="text1"/>
          <w:lang w:val="en-US"/>
        </w:rPr>
        <w:t xml:space="preserve"> </w:t>
      </w:r>
      <w:r w:rsidR="005109B7" w:rsidRPr="0055056D">
        <w:rPr>
          <w:color w:val="000000" w:themeColor="text1"/>
          <w:lang w:val="en-US"/>
        </w:rPr>
        <w:t>it</w:t>
      </w:r>
      <w:r w:rsidRPr="0055056D">
        <w:rPr>
          <w:color w:val="000000" w:themeColor="text1"/>
          <w:lang w:val="en-US"/>
        </w:rPr>
        <w:t xml:space="preserve"> re-dr</w:t>
      </w:r>
      <w:r w:rsidR="005109B7" w:rsidRPr="0055056D">
        <w:rPr>
          <w:color w:val="000000" w:themeColor="text1"/>
          <w:lang w:val="en-US"/>
        </w:rPr>
        <w:t xml:space="preserve">ew </w:t>
      </w:r>
      <w:r w:rsidRPr="0055056D">
        <w:rPr>
          <w:color w:val="000000" w:themeColor="text1"/>
          <w:lang w:val="en-US"/>
        </w:rPr>
        <w:t>in its</w:t>
      </w:r>
      <w:r w:rsidR="00773B54" w:rsidRPr="0055056D">
        <w:rPr>
          <w:color w:val="000000" w:themeColor="text1"/>
          <w:lang w:val="en-US"/>
        </w:rPr>
        <w:t xml:space="preserve"> own</w:t>
      </w:r>
      <w:r w:rsidRPr="0055056D">
        <w:rPr>
          <w:color w:val="000000" w:themeColor="text1"/>
          <w:lang w:val="en-US"/>
        </w:rPr>
        <w:t xml:space="preserve"> </w:t>
      </w:r>
      <w:proofErr w:type="spellStart"/>
      <w:r w:rsidRPr="0055056D">
        <w:rPr>
          <w:color w:val="000000" w:themeColor="text1"/>
          <w:lang w:val="en-US"/>
        </w:rPr>
        <w:t>fa</w:t>
      </w:r>
      <w:r w:rsidR="009F12B5" w:rsidRPr="0055056D">
        <w:rPr>
          <w:color w:val="000000" w:themeColor="text1"/>
          <w:lang w:val="en-US"/>
        </w:rPr>
        <w:t>vour</w:t>
      </w:r>
      <w:proofErr w:type="spellEnd"/>
      <w:r w:rsidR="009F12B5" w:rsidRPr="0055056D">
        <w:rPr>
          <w:color w:val="000000" w:themeColor="text1"/>
          <w:lang w:val="en-US"/>
        </w:rPr>
        <w:t xml:space="preserve"> using the two-thirds majority it has held</w:t>
      </w:r>
      <w:r w:rsidR="005109B7" w:rsidRPr="0055056D">
        <w:rPr>
          <w:color w:val="000000" w:themeColor="text1"/>
          <w:lang w:val="en-US"/>
        </w:rPr>
        <w:t>.</w:t>
      </w:r>
      <w:r w:rsidR="00FE41B1" w:rsidRPr="0055056D">
        <w:rPr>
          <w:color w:val="000000" w:themeColor="text1"/>
          <w:lang w:val="en-US"/>
        </w:rPr>
        <w:t xml:space="preserve"> T</w:t>
      </w:r>
      <w:r w:rsidR="00D9346A" w:rsidRPr="0055056D">
        <w:rPr>
          <w:color w:val="000000" w:themeColor="text1"/>
          <w:lang w:val="en-US"/>
        </w:rPr>
        <w:t>o that end, t</w:t>
      </w:r>
      <w:r w:rsidR="00FE41B1" w:rsidRPr="0055056D">
        <w:rPr>
          <w:color w:val="000000" w:themeColor="text1"/>
          <w:lang w:val="en-US"/>
        </w:rPr>
        <w:t xml:space="preserve">he Fundamental Law first cut the </w:t>
      </w:r>
      <w:r w:rsidR="00D9346A" w:rsidRPr="0055056D">
        <w:rPr>
          <w:color w:val="000000" w:themeColor="text1"/>
          <w:lang w:val="en-US"/>
        </w:rPr>
        <w:t>size of the Parliament in h</w:t>
      </w:r>
      <w:r w:rsidR="00D46DF9" w:rsidRPr="0055056D">
        <w:rPr>
          <w:color w:val="000000" w:themeColor="text1"/>
          <w:lang w:val="en-US"/>
        </w:rPr>
        <w:t>eld then it redr</w:t>
      </w:r>
      <w:r w:rsidR="00DD1E6B" w:rsidRPr="0055056D">
        <w:rPr>
          <w:color w:val="000000" w:themeColor="text1"/>
          <w:lang w:val="en-US"/>
        </w:rPr>
        <w:t>e</w:t>
      </w:r>
      <w:r w:rsidR="00D46DF9" w:rsidRPr="0055056D">
        <w:rPr>
          <w:color w:val="000000" w:themeColor="text1"/>
          <w:lang w:val="en-US"/>
        </w:rPr>
        <w:t xml:space="preserve">w the electoral districts in line with voter preferences, thereby ensuring that </w:t>
      </w:r>
      <w:proofErr w:type="spellStart"/>
      <w:r w:rsidR="00B36E37" w:rsidRPr="0055056D">
        <w:rPr>
          <w:color w:val="000000" w:themeColor="text1"/>
          <w:lang w:val="en-US"/>
        </w:rPr>
        <w:t>Fidesz</w:t>
      </w:r>
      <w:proofErr w:type="spellEnd"/>
      <w:r w:rsidR="00B36E37" w:rsidRPr="0055056D">
        <w:rPr>
          <w:color w:val="000000" w:themeColor="text1"/>
          <w:lang w:val="en-US"/>
        </w:rPr>
        <w:t xml:space="preserve"> voters are distributed across many smaller districts whereas opposition supporters are concentrated in larger districts</w:t>
      </w:r>
      <w:r w:rsidR="00DC1881" w:rsidRPr="0055056D">
        <w:rPr>
          <w:color w:val="000000" w:themeColor="text1"/>
          <w:lang w:val="en-US"/>
        </w:rPr>
        <w:t xml:space="preserve"> – leaving them less chance to win </w:t>
      </w:r>
      <w:r w:rsidR="007B40E1" w:rsidRPr="0055056D">
        <w:rPr>
          <w:color w:val="000000" w:themeColor="text1"/>
          <w:lang w:val="en-US"/>
        </w:rPr>
        <w:t xml:space="preserve">an electoral system that combines </w:t>
      </w:r>
      <w:r w:rsidR="002C4AA9" w:rsidRPr="0055056D">
        <w:rPr>
          <w:color w:val="000000" w:themeColor="text1"/>
          <w:lang w:val="en-US"/>
        </w:rPr>
        <w:t xml:space="preserve">106 </w:t>
      </w:r>
      <w:r w:rsidR="000E422E" w:rsidRPr="0055056D">
        <w:rPr>
          <w:color w:val="000000" w:themeColor="text1"/>
          <w:lang w:val="en-US"/>
        </w:rPr>
        <w:t>single member districts elected</w:t>
      </w:r>
      <w:r w:rsidR="002C4AA9" w:rsidRPr="0055056D">
        <w:rPr>
          <w:color w:val="000000" w:themeColor="text1"/>
          <w:lang w:val="en-US"/>
        </w:rPr>
        <w:t xml:space="preserve"> using </w:t>
      </w:r>
      <w:r w:rsidR="000E422E" w:rsidRPr="0055056D">
        <w:rPr>
          <w:color w:val="000000" w:themeColor="text1"/>
          <w:lang w:val="en-US"/>
        </w:rPr>
        <w:t>the first-past-the-post</w:t>
      </w:r>
      <w:r w:rsidR="002C4AA9" w:rsidRPr="0055056D">
        <w:rPr>
          <w:color w:val="000000" w:themeColor="text1"/>
          <w:lang w:val="en-US"/>
        </w:rPr>
        <w:t xml:space="preserve"> system,</w:t>
      </w:r>
      <w:r w:rsidR="000E422E" w:rsidRPr="0055056D">
        <w:rPr>
          <w:color w:val="000000" w:themeColor="text1"/>
          <w:lang w:val="en-US"/>
        </w:rPr>
        <w:t xml:space="preserve"> and</w:t>
      </w:r>
      <w:r w:rsidR="002C4AA9" w:rsidRPr="0055056D">
        <w:rPr>
          <w:color w:val="000000" w:themeColor="text1"/>
          <w:lang w:val="en-US"/>
        </w:rPr>
        <w:t xml:space="preserve"> 93 elected from a national list using the closed </w:t>
      </w:r>
      <w:r w:rsidR="000E422E" w:rsidRPr="0055056D">
        <w:rPr>
          <w:color w:val="000000" w:themeColor="text1"/>
          <w:lang w:val="en-US"/>
        </w:rPr>
        <w:t>l</w:t>
      </w:r>
      <w:r w:rsidR="002C4AA9" w:rsidRPr="0055056D">
        <w:rPr>
          <w:color w:val="000000" w:themeColor="text1"/>
          <w:lang w:val="en-US"/>
        </w:rPr>
        <w:t xml:space="preserve">ist </w:t>
      </w:r>
      <w:r w:rsidR="000E422E" w:rsidRPr="0055056D">
        <w:rPr>
          <w:color w:val="000000" w:themeColor="text1"/>
          <w:lang w:val="en-US"/>
        </w:rPr>
        <w:t>proportional representation</w:t>
      </w:r>
      <w:r w:rsidR="002C4AA9" w:rsidRPr="0055056D">
        <w:rPr>
          <w:color w:val="000000" w:themeColor="text1"/>
          <w:lang w:val="en-US"/>
        </w:rPr>
        <w:t xml:space="preserve"> system</w:t>
      </w:r>
      <w:r w:rsidR="000E422E" w:rsidRPr="0055056D">
        <w:rPr>
          <w:rStyle w:val="Rimandonotaapidipagina"/>
          <w:color w:val="000000" w:themeColor="text1"/>
          <w:lang w:val="en-US"/>
        </w:rPr>
        <w:footnoteReference w:id="21"/>
      </w:r>
      <w:r w:rsidR="002C4AA9" w:rsidRPr="0055056D">
        <w:rPr>
          <w:color w:val="000000" w:themeColor="text1"/>
          <w:lang w:val="en-US"/>
        </w:rPr>
        <w:t>.</w:t>
      </w:r>
      <w:r w:rsidR="000E422E" w:rsidRPr="0055056D">
        <w:rPr>
          <w:color w:val="000000" w:themeColor="text1"/>
          <w:lang w:val="en-US"/>
        </w:rPr>
        <w:t xml:space="preserve"> </w:t>
      </w:r>
      <w:r w:rsidR="008D6902" w:rsidRPr="0055056D">
        <w:rPr>
          <w:color w:val="000000" w:themeColor="text1"/>
          <w:lang w:val="en-US"/>
        </w:rPr>
        <w:t xml:space="preserve">To illustrate, the re-districting led to a </w:t>
      </w:r>
      <w:proofErr w:type="spellStart"/>
      <w:r w:rsidR="008D6902" w:rsidRPr="0055056D">
        <w:rPr>
          <w:color w:val="000000" w:themeColor="text1"/>
          <w:lang w:val="en-US"/>
        </w:rPr>
        <w:t>Fidesz</w:t>
      </w:r>
      <w:proofErr w:type="spellEnd"/>
      <w:r w:rsidR="008D6902" w:rsidRPr="0055056D">
        <w:rPr>
          <w:color w:val="000000" w:themeColor="text1"/>
          <w:lang w:val="en-US"/>
        </w:rPr>
        <w:t xml:space="preserve"> victory </w:t>
      </w:r>
      <w:r w:rsidR="00F92ED2" w:rsidRPr="0055056D">
        <w:rPr>
          <w:color w:val="000000" w:themeColor="text1"/>
          <w:lang w:val="en-US"/>
        </w:rPr>
        <w:t>i</w:t>
      </w:r>
      <w:r w:rsidR="008D6902" w:rsidRPr="0055056D">
        <w:rPr>
          <w:color w:val="000000" w:themeColor="text1"/>
          <w:lang w:val="en-US"/>
        </w:rPr>
        <w:t xml:space="preserve">n 2014 where </w:t>
      </w:r>
      <w:r w:rsidR="00F92ED2" w:rsidRPr="0055056D">
        <w:rPr>
          <w:color w:val="000000" w:themeColor="text1"/>
          <w:lang w:val="en-US"/>
        </w:rPr>
        <w:t xml:space="preserve">the </w:t>
      </w:r>
      <w:proofErr w:type="spellStart"/>
      <w:r w:rsidR="00F92ED2" w:rsidRPr="0055056D">
        <w:rPr>
          <w:color w:val="000000" w:themeColor="text1"/>
          <w:lang w:val="en-US"/>
        </w:rPr>
        <w:t>Fidesz</w:t>
      </w:r>
      <w:proofErr w:type="spellEnd"/>
      <w:r w:rsidR="00F92ED2" w:rsidRPr="0055056D">
        <w:rPr>
          <w:color w:val="000000" w:themeColor="text1"/>
          <w:lang w:val="en-US"/>
        </w:rPr>
        <w:t>-coalition</w:t>
      </w:r>
      <w:r w:rsidR="008D6902" w:rsidRPr="0055056D">
        <w:rPr>
          <w:color w:val="000000" w:themeColor="text1"/>
          <w:lang w:val="en-US"/>
        </w:rPr>
        <w:t xml:space="preserve"> took 91% of the districts with only 45% of the votes</w:t>
      </w:r>
      <w:r w:rsidR="00F92ED2" w:rsidRPr="0055056D">
        <w:rPr>
          <w:rStyle w:val="Rimandonotaapidipagina"/>
          <w:color w:val="000000" w:themeColor="text1"/>
          <w:lang w:val="en-US"/>
        </w:rPr>
        <w:footnoteReference w:id="22"/>
      </w:r>
      <w:r w:rsidR="008D6902" w:rsidRPr="0055056D">
        <w:rPr>
          <w:color w:val="000000" w:themeColor="text1"/>
          <w:lang w:val="en-US"/>
        </w:rPr>
        <w:t>.</w:t>
      </w:r>
      <w:r w:rsidR="007C396A" w:rsidRPr="0055056D">
        <w:rPr>
          <w:color w:val="000000" w:themeColor="text1"/>
          <w:lang w:val="en-US"/>
        </w:rPr>
        <w:t xml:space="preserve"> Similar proportions followed in the four consecutive </w:t>
      </w:r>
      <w:r w:rsidR="008E003F" w:rsidRPr="0055056D">
        <w:rPr>
          <w:color w:val="000000" w:themeColor="text1"/>
          <w:lang w:val="en-US"/>
        </w:rPr>
        <w:t>Orbán victory</w:t>
      </w:r>
      <w:r w:rsidR="00234DE0" w:rsidRPr="0055056D">
        <w:rPr>
          <w:color w:val="000000" w:themeColor="text1"/>
          <w:lang w:val="en-US"/>
        </w:rPr>
        <w:t>; however</w:t>
      </w:r>
      <w:r w:rsidR="00AE2E2B" w:rsidRPr="0055056D">
        <w:rPr>
          <w:color w:val="000000" w:themeColor="text1"/>
          <w:lang w:val="en-US"/>
        </w:rPr>
        <w:t>,</w:t>
      </w:r>
      <w:r w:rsidR="00234DE0" w:rsidRPr="0055056D">
        <w:rPr>
          <w:color w:val="000000" w:themeColor="text1"/>
          <w:lang w:val="en-US"/>
        </w:rPr>
        <w:t xml:space="preserve"> when prior to last year’s parliamentary elections</w:t>
      </w:r>
      <w:r w:rsidR="00274AFA" w:rsidRPr="0055056D">
        <w:rPr>
          <w:color w:val="000000" w:themeColor="text1"/>
          <w:lang w:val="en-US"/>
        </w:rPr>
        <w:t>,</w:t>
      </w:r>
      <w:r w:rsidR="00974058" w:rsidRPr="0055056D">
        <w:rPr>
          <w:color w:val="000000" w:themeColor="text1"/>
          <w:lang w:val="en-US"/>
        </w:rPr>
        <w:t xml:space="preserve"> the six opposition parties fragmented across the political spectrum joined forces with the sole goal of defeating the Orbán-government, </w:t>
      </w:r>
      <w:r w:rsidR="00A356A5" w:rsidRPr="0055056D">
        <w:rPr>
          <w:color w:val="000000" w:themeColor="text1"/>
          <w:lang w:val="en-US"/>
        </w:rPr>
        <w:t xml:space="preserve">yet another amendment came into force allowing for ‘voter tourism’ </w:t>
      </w:r>
      <w:r w:rsidR="007220E7" w:rsidRPr="0055056D">
        <w:rPr>
          <w:color w:val="000000" w:themeColor="text1"/>
          <w:lang w:val="en-US"/>
        </w:rPr>
        <w:t xml:space="preserve">via allowing voting to be allocated to a certain </w:t>
      </w:r>
      <w:r w:rsidR="00274AFA" w:rsidRPr="0055056D">
        <w:rPr>
          <w:color w:val="000000" w:themeColor="text1"/>
          <w:lang w:val="en-US"/>
        </w:rPr>
        <w:t>district purely</w:t>
      </w:r>
      <w:r w:rsidR="007220E7" w:rsidRPr="0055056D">
        <w:rPr>
          <w:color w:val="000000" w:themeColor="text1"/>
          <w:lang w:val="en-US"/>
        </w:rPr>
        <w:t xml:space="preserve"> based on a contact address</w:t>
      </w:r>
      <w:r w:rsidR="007220E7" w:rsidRPr="0055056D">
        <w:rPr>
          <w:rStyle w:val="Rimandonotaapidipagina"/>
          <w:color w:val="000000" w:themeColor="text1"/>
          <w:lang w:val="en-US"/>
        </w:rPr>
        <w:footnoteReference w:id="23"/>
      </w:r>
      <w:r w:rsidR="007220E7" w:rsidRPr="0055056D">
        <w:rPr>
          <w:color w:val="000000" w:themeColor="text1"/>
          <w:lang w:val="en-US"/>
        </w:rPr>
        <w:t>.</w:t>
      </w:r>
    </w:p>
    <w:p w14:paraId="25725909" w14:textId="77777777" w:rsidR="00DC1881" w:rsidRPr="0055056D" w:rsidRDefault="00DC1881" w:rsidP="00C270F3">
      <w:pPr>
        <w:pStyle w:val="MBT"/>
        <w:rPr>
          <w:color w:val="000000" w:themeColor="text1"/>
          <w:lang w:val="en-US"/>
        </w:rPr>
      </w:pPr>
    </w:p>
    <w:p w14:paraId="40013D1E" w14:textId="77777777" w:rsidR="00DC1881" w:rsidRPr="0055056D" w:rsidRDefault="00DC1881" w:rsidP="00C270F3">
      <w:pPr>
        <w:pStyle w:val="MBT"/>
        <w:rPr>
          <w:color w:val="000000" w:themeColor="text1"/>
          <w:lang w:val="en-US"/>
        </w:rPr>
      </w:pPr>
    </w:p>
    <w:p w14:paraId="49C2D5C4" w14:textId="24F45C51" w:rsidR="009B04D9" w:rsidRPr="0055056D" w:rsidRDefault="009B04D9" w:rsidP="00C270F3">
      <w:pPr>
        <w:pStyle w:val="MBT"/>
        <w:rPr>
          <w:color w:val="000000" w:themeColor="text1"/>
          <w:lang w:val="en-US"/>
        </w:rPr>
      </w:pPr>
    </w:p>
    <w:p w14:paraId="1580384C" w14:textId="04DEE574" w:rsidR="0011012E" w:rsidRPr="0055056D" w:rsidRDefault="00131239" w:rsidP="0011012E">
      <w:pPr>
        <w:pStyle w:val="MH2"/>
        <w:rPr>
          <w:lang w:val="en-US"/>
        </w:rPr>
      </w:pPr>
      <w:r w:rsidRPr="0055056D">
        <w:rPr>
          <w:lang w:val="en-US"/>
        </w:rPr>
        <w:t xml:space="preserve">Protection against threats to the principles of legality and abuse of power </w:t>
      </w:r>
    </w:p>
    <w:p w14:paraId="2B3C1D52" w14:textId="77777777" w:rsidR="003029F9" w:rsidRPr="0055056D" w:rsidRDefault="003029F9" w:rsidP="00765831">
      <w:pPr>
        <w:pStyle w:val="MBT"/>
        <w:rPr>
          <w:color w:val="000000" w:themeColor="text1"/>
          <w:lang w:val="en-US"/>
        </w:rPr>
      </w:pPr>
    </w:p>
    <w:p w14:paraId="251D0DC6" w14:textId="5BDB525A" w:rsidR="003029F9" w:rsidRPr="0055056D" w:rsidRDefault="006F3247" w:rsidP="00765831">
      <w:pPr>
        <w:pStyle w:val="MBT"/>
        <w:rPr>
          <w:color w:val="000000" w:themeColor="text1"/>
          <w:lang w:val="en-US"/>
        </w:rPr>
      </w:pPr>
      <w:r w:rsidRPr="0055056D">
        <w:rPr>
          <w:color w:val="000000" w:themeColor="text1"/>
          <w:lang w:val="en-US"/>
        </w:rPr>
        <w:t xml:space="preserve">Safeguards </w:t>
      </w:r>
      <w:r w:rsidR="0011169D" w:rsidRPr="0055056D">
        <w:rPr>
          <w:color w:val="000000" w:themeColor="text1"/>
          <w:lang w:val="en-US"/>
        </w:rPr>
        <w:t>against threats to the principles of legality and abuse of power are</w:t>
      </w:r>
      <w:r w:rsidR="00EC55FD" w:rsidRPr="0055056D">
        <w:rPr>
          <w:color w:val="000000" w:themeColor="text1"/>
          <w:lang w:val="en-US"/>
        </w:rPr>
        <w:t xml:space="preserve"> embedded </w:t>
      </w:r>
      <w:r w:rsidR="002B097B" w:rsidRPr="0055056D">
        <w:rPr>
          <w:color w:val="000000" w:themeColor="text1"/>
          <w:lang w:val="en-US"/>
        </w:rPr>
        <w:t>across the entire</w:t>
      </w:r>
      <w:r w:rsidR="00EC55FD" w:rsidRPr="0055056D">
        <w:rPr>
          <w:color w:val="000000" w:themeColor="text1"/>
          <w:lang w:val="en-US"/>
        </w:rPr>
        <w:t xml:space="preserve"> system of checks and balances </w:t>
      </w:r>
      <w:r w:rsidR="005E572C" w:rsidRPr="0055056D">
        <w:rPr>
          <w:color w:val="000000" w:themeColor="text1"/>
          <w:lang w:val="en-US"/>
        </w:rPr>
        <w:t xml:space="preserve">that are fundamental to a constitutional democracy. </w:t>
      </w:r>
      <w:r w:rsidR="009A5382" w:rsidRPr="0055056D">
        <w:rPr>
          <w:color w:val="000000" w:themeColor="text1"/>
          <w:lang w:val="en-US"/>
        </w:rPr>
        <w:t xml:space="preserve">The procedural and substantive concerns </w:t>
      </w:r>
      <w:r w:rsidR="002B097B" w:rsidRPr="0055056D">
        <w:rPr>
          <w:color w:val="000000" w:themeColor="text1"/>
          <w:lang w:val="en-US"/>
        </w:rPr>
        <w:t>over</w:t>
      </w:r>
      <w:r w:rsidR="009A5382" w:rsidRPr="0055056D">
        <w:rPr>
          <w:color w:val="000000" w:themeColor="text1"/>
          <w:lang w:val="en-US"/>
        </w:rPr>
        <w:t xml:space="preserve"> the Hungarian legal system and its functioning, including </w:t>
      </w:r>
      <w:r w:rsidR="00126589" w:rsidRPr="0055056D">
        <w:rPr>
          <w:color w:val="000000" w:themeColor="text1"/>
          <w:lang w:val="en-US"/>
        </w:rPr>
        <w:t>its implementation by the judiciary, are addressed in various sections of th</w:t>
      </w:r>
      <w:r w:rsidR="00E97132" w:rsidRPr="0055056D">
        <w:rPr>
          <w:color w:val="000000" w:themeColor="text1"/>
          <w:lang w:val="en-US"/>
        </w:rPr>
        <w:t>is</w:t>
      </w:r>
      <w:r w:rsidR="00126589" w:rsidRPr="0055056D">
        <w:rPr>
          <w:color w:val="000000" w:themeColor="text1"/>
          <w:lang w:val="en-US"/>
        </w:rPr>
        <w:t xml:space="preserve"> Country Report. Of </w:t>
      </w:r>
      <w:proofErr w:type="gramStart"/>
      <w:r w:rsidR="00126589" w:rsidRPr="0055056D">
        <w:rPr>
          <w:color w:val="000000" w:themeColor="text1"/>
          <w:lang w:val="en-US"/>
        </w:rPr>
        <w:t>particular rele</w:t>
      </w:r>
      <w:r w:rsidR="00A97698" w:rsidRPr="0055056D">
        <w:rPr>
          <w:color w:val="000000" w:themeColor="text1"/>
          <w:lang w:val="en-US"/>
        </w:rPr>
        <w:t>vance</w:t>
      </w:r>
      <w:proofErr w:type="gramEnd"/>
      <w:r w:rsidR="00A97698" w:rsidRPr="0055056D">
        <w:rPr>
          <w:color w:val="000000" w:themeColor="text1"/>
          <w:lang w:val="en-US"/>
        </w:rPr>
        <w:t xml:space="preserve"> to the protection of legality stands the </w:t>
      </w:r>
      <w:r w:rsidR="00083A57" w:rsidRPr="0055056D">
        <w:rPr>
          <w:color w:val="000000" w:themeColor="text1"/>
          <w:lang w:val="en-US"/>
        </w:rPr>
        <w:t>effective functioning of the legislative process without undue interference or restrictions</w:t>
      </w:r>
      <w:r w:rsidR="0046005D" w:rsidRPr="0055056D">
        <w:rPr>
          <w:color w:val="000000" w:themeColor="text1"/>
          <w:lang w:val="en-US"/>
        </w:rPr>
        <w:t xml:space="preserve"> as well as the judicial review by the Constitutional Court which exercises normative control</w:t>
      </w:r>
      <w:r w:rsidR="00E97132" w:rsidRPr="0055056D">
        <w:rPr>
          <w:color w:val="000000" w:themeColor="text1"/>
          <w:lang w:val="en-US"/>
        </w:rPr>
        <w:t>, as discussed in the following.</w:t>
      </w:r>
    </w:p>
    <w:p w14:paraId="15B1CD22" w14:textId="519FD683" w:rsidR="00765831" w:rsidRPr="0055056D" w:rsidRDefault="00765831" w:rsidP="00765831">
      <w:pPr>
        <w:pStyle w:val="MBT"/>
        <w:rPr>
          <w:color w:val="000000" w:themeColor="text1"/>
          <w:lang w:val="en-US"/>
        </w:rPr>
      </w:pPr>
      <w:r w:rsidRPr="0055056D">
        <w:rPr>
          <w:color w:val="000000" w:themeColor="text1"/>
          <w:lang w:val="en-US"/>
        </w:rPr>
        <w:t xml:space="preserve">In the lack of effective checks on the executive’s growing </w:t>
      </w:r>
      <w:r w:rsidRPr="0055056D">
        <w:rPr>
          <w:i/>
          <w:iCs/>
          <w:color w:val="000000" w:themeColor="text1"/>
          <w:lang w:val="en-US"/>
        </w:rPr>
        <w:t xml:space="preserve">de </w:t>
      </w:r>
      <w:proofErr w:type="spellStart"/>
      <w:r w:rsidRPr="0055056D">
        <w:rPr>
          <w:i/>
          <w:iCs/>
          <w:color w:val="000000" w:themeColor="text1"/>
          <w:lang w:val="en-US"/>
        </w:rPr>
        <w:t>lege</w:t>
      </w:r>
      <w:proofErr w:type="spellEnd"/>
      <w:r w:rsidRPr="0055056D">
        <w:rPr>
          <w:color w:val="000000" w:themeColor="text1"/>
          <w:lang w:val="en-US"/>
        </w:rPr>
        <w:t xml:space="preserve"> and </w:t>
      </w:r>
      <w:r w:rsidRPr="0055056D">
        <w:rPr>
          <w:i/>
          <w:iCs/>
          <w:color w:val="000000" w:themeColor="text1"/>
          <w:lang w:val="en-US"/>
        </w:rPr>
        <w:t>de facto</w:t>
      </w:r>
      <w:r w:rsidRPr="0055056D">
        <w:rPr>
          <w:color w:val="000000" w:themeColor="text1"/>
          <w:lang w:val="en-US"/>
        </w:rPr>
        <w:t xml:space="preserve"> power, threats to democratic principles have increasingly become entrenched practices in the national context. In particular, the transparency and inclusiveness of the </w:t>
      </w:r>
      <w:r w:rsidRPr="0055056D">
        <w:rPr>
          <w:b/>
          <w:bCs w:val="0"/>
          <w:color w:val="000000" w:themeColor="text1"/>
          <w:lang w:val="en-US"/>
        </w:rPr>
        <w:t>legislative process</w:t>
      </w:r>
      <w:r w:rsidRPr="0055056D">
        <w:rPr>
          <w:color w:val="000000" w:themeColor="text1"/>
          <w:lang w:val="en-US"/>
        </w:rPr>
        <w:t xml:space="preserve"> has been eroded to the degree that national CSOs have consistently reported that public consultation on draft laws has virtually ceased to exist</w:t>
      </w:r>
      <w:r w:rsidRPr="0055056D">
        <w:rPr>
          <w:rStyle w:val="Rimandonotaapidipagina"/>
          <w:color w:val="000000" w:themeColor="text1"/>
          <w:lang w:val="en-US"/>
        </w:rPr>
        <w:footnoteReference w:id="24"/>
      </w:r>
      <w:r w:rsidRPr="0055056D">
        <w:rPr>
          <w:color w:val="000000" w:themeColor="text1"/>
          <w:lang w:val="en-US"/>
        </w:rPr>
        <w:t xml:space="preserve"> For instance, as also reported by the 2022 Rule of Law Report of the European Commission, </w:t>
      </w:r>
      <w:r w:rsidRPr="0055056D">
        <w:t xml:space="preserve">the Hungarian Government has systematically failed </w:t>
      </w:r>
      <w:r w:rsidR="00B123F2" w:rsidRPr="0055056D">
        <w:t>to comply</w:t>
      </w:r>
      <w:r w:rsidRPr="0055056D">
        <w:t xml:space="preserve"> with its legal obligation to publish the online draft laws for public consultations. According to the government website, out of the 145 government draft laws in 2021, only three laws were </w:t>
      </w:r>
      <w:r w:rsidRPr="0055056D">
        <w:rPr>
          <w:b/>
          <w:bCs w:val="0"/>
        </w:rPr>
        <w:t>published for public consultations</w:t>
      </w:r>
      <w:r w:rsidRPr="0055056D">
        <w:t>. From these three, only one can be deemed as having been genuinely open for consultation; the other two drafts were published three weeks after the bills had already been submitted to Parliament.</w:t>
      </w:r>
      <w:r w:rsidRPr="0055056D">
        <w:rPr>
          <w:rStyle w:val="Rimandonotaapidipagina"/>
        </w:rPr>
        <w:footnoteReference w:id="25"/>
      </w:r>
      <w:r w:rsidRPr="0055056D">
        <w:t xml:space="preserve"> </w:t>
      </w:r>
      <w:r w:rsidRPr="0055056D">
        <w:rPr>
          <w:color w:val="000000" w:themeColor="text1"/>
          <w:lang w:val="en-US"/>
        </w:rPr>
        <w:t>While the amendments in Act CXXXI of 2010 on Public Participation in Preparing of Laws that came into effect in October 2022 brought about some improvements, key areas of concern have remained intact</w:t>
      </w:r>
      <w:r w:rsidRPr="0055056D">
        <w:rPr>
          <w:rStyle w:val="Rimandonotaapidipagina"/>
          <w:color w:val="000000" w:themeColor="text1"/>
          <w:lang w:val="en-US"/>
        </w:rPr>
        <w:footnoteReference w:id="26"/>
      </w:r>
      <w:r w:rsidRPr="0055056D">
        <w:rPr>
          <w:color w:val="000000" w:themeColor="text1"/>
          <w:lang w:val="en-US"/>
        </w:rPr>
        <w:t>. For instance, while in response to the conditionality mechanism activated against Hungary (see Section 3.1), ministries started to publish some laws for consultation, none of those the Government submitted to meet the milestones required by the conditionality mechanism were published</w:t>
      </w:r>
      <w:r w:rsidRPr="0055056D">
        <w:rPr>
          <w:rStyle w:val="Rimandonotaapidipagina"/>
          <w:color w:val="000000" w:themeColor="text1"/>
          <w:lang w:val="en-US"/>
        </w:rPr>
        <w:footnoteReference w:id="27"/>
      </w:r>
      <w:r w:rsidRPr="0055056D">
        <w:rPr>
          <w:color w:val="000000" w:themeColor="text1"/>
          <w:lang w:val="en-US"/>
        </w:rPr>
        <w:t xml:space="preserve">. </w:t>
      </w:r>
    </w:p>
    <w:p w14:paraId="440D992C" w14:textId="1736824B" w:rsidR="00F05003" w:rsidRPr="0055056D" w:rsidRDefault="00ED2CF6" w:rsidP="0011012E">
      <w:pPr>
        <w:pStyle w:val="MBT"/>
        <w:rPr>
          <w:color w:val="000000" w:themeColor="text1"/>
          <w:lang w:val="en-US"/>
        </w:rPr>
      </w:pPr>
      <w:r w:rsidRPr="0055056D">
        <w:rPr>
          <w:color w:val="000000" w:themeColor="text1"/>
          <w:lang w:val="en-US"/>
        </w:rPr>
        <w:t>In addition, u</w:t>
      </w:r>
      <w:r w:rsidR="00F05003" w:rsidRPr="0055056D">
        <w:rPr>
          <w:color w:val="000000" w:themeColor="text1"/>
          <w:lang w:val="en-US"/>
        </w:rPr>
        <w:t>nder what has been called a ‘façade of legality’ – and with that, an affront to the rule of law - the Orbán government ha</w:t>
      </w:r>
      <w:r w:rsidR="00E820BD" w:rsidRPr="0055056D">
        <w:rPr>
          <w:color w:val="000000" w:themeColor="text1"/>
          <w:lang w:val="en-US"/>
        </w:rPr>
        <w:t>s</w:t>
      </w:r>
      <w:r w:rsidR="00F05003" w:rsidRPr="0055056D">
        <w:rPr>
          <w:color w:val="000000" w:themeColor="text1"/>
          <w:lang w:val="en-US"/>
        </w:rPr>
        <w:t xml:space="preserve"> cemented its rule by decree </w:t>
      </w:r>
      <w:r w:rsidR="005E0C56" w:rsidRPr="0055056D">
        <w:rPr>
          <w:color w:val="000000" w:themeColor="text1"/>
          <w:lang w:val="en-US"/>
        </w:rPr>
        <w:t>via</w:t>
      </w:r>
      <w:r w:rsidR="00F05003" w:rsidRPr="0055056D">
        <w:rPr>
          <w:color w:val="000000" w:themeColor="text1"/>
          <w:lang w:val="en-US"/>
        </w:rPr>
        <w:t xml:space="preserve"> the introduction of various new forms of ‘special legal orders’ which are </w:t>
      </w:r>
      <w:r w:rsidR="00F05003" w:rsidRPr="0055056D">
        <w:rPr>
          <w:b/>
          <w:bCs w:val="0"/>
          <w:color w:val="000000" w:themeColor="text1"/>
          <w:lang w:val="en-US"/>
        </w:rPr>
        <w:t>forms of state of emergency</w:t>
      </w:r>
      <w:r w:rsidR="00F05003" w:rsidRPr="0055056D">
        <w:rPr>
          <w:color w:val="000000" w:themeColor="text1"/>
          <w:lang w:val="en-US"/>
        </w:rPr>
        <w:t xml:space="preserve"> in the Hungarian legal system. The mentioned state of danger, as well as an additional so-called ‘state of medical crisis’ </w:t>
      </w:r>
      <w:proofErr w:type="gramStart"/>
      <w:r w:rsidR="00F05003" w:rsidRPr="0055056D">
        <w:rPr>
          <w:color w:val="000000" w:themeColor="text1"/>
          <w:lang w:val="en-US"/>
        </w:rPr>
        <w:t>were</w:t>
      </w:r>
      <w:proofErr w:type="gramEnd"/>
      <w:r w:rsidR="00F05003" w:rsidRPr="0055056D">
        <w:rPr>
          <w:color w:val="000000" w:themeColor="text1"/>
          <w:lang w:val="en-US"/>
        </w:rPr>
        <w:t xml:space="preserve"> invoked and continuously extended since 2019. In addition, in May 2022 the Parliament passed the tenth amendment to the </w:t>
      </w:r>
      <w:r w:rsidR="00CE0C02" w:rsidRPr="0055056D">
        <w:rPr>
          <w:color w:val="000000" w:themeColor="text1"/>
          <w:lang w:val="en-US"/>
        </w:rPr>
        <w:t>C</w:t>
      </w:r>
      <w:r w:rsidR="00F05003" w:rsidRPr="0055056D">
        <w:rPr>
          <w:color w:val="000000" w:themeColor="text1"/>
          <w:lang w:val="en-US"/>
        </w:rPr>
        <w:t>onstitution</w:t>
      </w:r>
      <w:r w:rsidR="00F05003" w:rsidRPr="0055056D">
        <w:rPr>
          <w:rStyle w:val="Rimandonotaapidipagina"/>
          <w:color w:val="000000" w:themeColor="text1"/>
          <w:lang w:val="en-US"/>
        </w:rPr>
        <w:footnoteReference w:id="28"/>
      </w:r>
      <w:r w:rsidR="00F05003" w:rsidRPr="0055056D">
        <w:rPr>
          <w:color w:val="000000" w:themeColor="text1"/>
          <w:lang w:val="en-US"/>
        </w:rPr>
        <w:t xml:space="preserve"> in ten years adding yet another special legal order type, this time with reference to an armed conflict in a neighboring country, such as Ukraine, which was then promptly invoked</w:t>
      </w:r>
      <w:r w:rsidR="006A6CB0" w:rsidRPr="0055056D">
        <w:rPr>
          <w:color w:val="000000" w:themeColor="text1"/>
          <w:lang w:val="en-US"/>
        </w:rPr>
        <w:t xml:space="preserve"> -</w:t>
      </w:r>
      <w:r w:rsidR="00F05003" w:rsidRPr="0055056D">
        <w:rPr>
          <w:color w:val="000000" w:themeColor="text1"/>
          <w:lang w:val="en-US"/>
        </w:rPr>
        <w:t xml:space="preserve"> in effect, providing a constitutional ground for the government’s continued decree </w:t>
      </w:r>
      <w:r w:rsidR="00F05003" w:rsidRPr="0055056D">
        <w:rPr>
          <w:color w:val="000000" w:themeColor="text1"/>
          <w:lang w:val="en-US"/>
        </w:rPr>
        <w:lastRenderedPageBreak/>
        <w:t>governance.</w:t>
      </w:r>
    </w:p>
    <w:p w14:paraId="6F2D160A" w14:textId="6B508210" w:rsidR="0011012E" w:rsidRPr="0055056D" w:rsidRDefault="0011012E" w:rsidP="0011012E">
      <w:pPr>
        <w:pStyle w:val="MBT"/>
      </w:pPr>
      <w:r w:rsidRPr="0055056D">
        <w:rPr>
          <w:color w:val="000000" w:themeColor="text1"/>
          <w:lang w:val="en-US"/>
        </w:rPr>
        <w:t xml:space="preserve">Due to the ongoing special legal order, the ordinary legislative procedure with its inbuilt checks and balances has been set aside </w:t>
      </w:r>
      <w:r w:rsidR="008054B5" w:rsidRPr="0055056D">
        <w:rPr>
          <w:color w:val="000000" w:themeColor="text1"/>
          <w:lang w:val="en-US"/>
        </w:rPr>
        <w:t>and the so-called</w:t>
      </w:r>
      <w:r w:rsidRPr="0055056D">
        <w:rPr>
          <w:color w:val="000000" w:themeColor="text1"/>
          <w:lang w:val="en-US"/>
        </w:rPr>
        <w:t xml:space="preserve"> </w:t>
      </w:r>
      <w:r w:rsidRPr="0055056D">
        <w:rPr>
          <w:b/>
          <w:bCs w:val="0"/>
          <w:color w:val="000000" w:themeColor="text1"/>
          <w:lang w:val="en-US"/>
        </w:rPr>
        <w:t>accelerated legislative procedure</w:t>
      </w:r>
      <w:r w:rsidRPr="0055056D">
        <w:rPr>
          <w:color w:val="000000" w:themeColor="text1"/>
          <w:lang w:val="en-US"/>
        </w:rPr>
        <w:t xml:space="preserve"> is </w:t>
      </w:r>
      <w:r w:rsidRPr="0055056D">
        <w:rPr>
          <w:color w:val="000000" w:themeColor="text1"/>
        </w:rPr>
        <w:t>characterized</w:t>
      </w:r>
      <w:r w:rsidRPr="0055056D">
        <w:rPr>
          <w:color w:val="000000" w:themeColor="text1"/>
          <w:lang w:val="en-US"/>
        </w:rPr>
        <w:t xml:space="preserve"> by both rapid law-making with often next day or next week promulgation, little to no public consultation and the use of omnibus </w:t>
      </w:r>
      <w:r w:rsidR="00AA474B" w:rsidRPr="0055056D">
        <w:rPr>
          <w:color w:val="000000" w:themeColor="text1"/>
          <w:lang w:val="en-US"/>
        </w:rPr>
        <w:t>bills, bundling together substantively</w:t>
      </w:r>
      <w:r w:rsidR="00405FD9" w:rsidRPr="0055056D">
        <w:rPr>
          <w:color w:val="000000" w:themeColor="text1"/>
          <w:lang w:val="en-US"/>
        </w:rPr>
        <w:t xml:space="preserve"> completely</w:t>
      </w:r>
      <w:r w:rsidR="00AA474B" w:rsidRPr="0055056D">
        <w:rPr>
          <w:color w:val="000000" w:themeColor="text1"/>
          <w:lang w:val="en-US"/>
        </w:rPr>
        <w:t xml:space="preserve"> </w:t>
      </w:r>
      <w:r w:rsidR="00C51037" w:rsidRPr="0055056D">
        <w:rPr>
          <w:color w:val="000000" w:themeColor="text1"/>
          <w:lang w:val="en-US"/>
        </w:rPr>
        <w:t xml:space="preserve">unrelated </w:t>
      </w:r>
      <w:r w:rsidR="00405FD9" w:rsidRPr="0055056D">
        <w:rPr>
          <w:color w:val="000000" w:themeColor="text1"/>
          <w:lang w:val="en-US"/>
        </w:rPr>
        <w:t>amendments</w:t>
      </w:r>
      <w:r w:rsidR="00AA474B" w:rsidRPr="0055056D">
        <w:rPr>
          <w:color w:val="000000" w:themeColor="text1"/>
          <w:lang w:val="en-US"/>
        </w:rPr>
        <w:t>,</w:t>
      </w:r>
      <w:r w:rsidRPr="0055056D">
        <w:rPr>
          <w:color w:val="000000" w:themeColor="text1"/>
          <w:lang w:val="en-US"/>
        </w:rPr>
        <w:t xml:space="preserve"> that have eroded the rule of law safeguards of the legislative process falling short of a transparent, accountable, democratic, and pluralistic process for enacting laws. </w:t>
      </w:r>
      <w:r w:rsidRPr="0055056D">
        <w:t>Reportedly, the government has also routinely resorted to passing key amendment through individual MP bills or via the urgent or extraordinary procedure.</w:t>
      </w:r>
    </w:p>
    <w:p w14:paraId="10C0A6E7" w14:textId="695866DB" w:rsidR="00A54ED7" w:rsidRPr="0055056D" w:rsidRDefault="00426B66" w:rsidP="00290FBD">
      <w:pPr>
        <w:pStyle w:val="MBT"/>
      </w:pPr>
      <w:r w:rsidRPr="0055056D">
        <w:t>The possibility of the Constitutional Court to annul already final judicial decisions</w:t>
      </w:r>
      <w:r w:rsidR="00B87707" w:rsidRPr="0055056D">
        <w:t>, as elaborated on in Section 2.5 below,</w:t>
      </w:r>
      <w:r w:rsidRPr="0055056D">
        <w:t xml:space="preserve"> </w:t>
      </w:r>
      <w:r w:rsidR="00723240" w:rsidRPr="0055056D">
        <w:t>ha</w:t>
      </w:r>
      <w:r w:rsidR="008013FF" w:rsidRPr="0055056D">
        <w:t>ve</w:t>
      </w:r>
      <w:r w:rsidR="00723240" w:rsidRPr="0055056D">
        <w:t xml:space="preserve"> been heavily criticised as </w:t>
      </w:r>
      <w:r w:rsidR="00A5147F" w:rsidRPr="0055056D">
        <w:t>an avenue to deteriorate legal certainty in the country</w:t>
      </w:r>
      <w:r w:rsidR="00A54ED7" w:rsidRPr="0055056D">
        <w:t xml:space="preserve">. </w:t>
      </w:r>
      <w:r w:rsidR="00F71516" w:rsidRPr="0055056D">
        <w:t xml:space="preserve">A grave expression of both </w:t>
      </w:r>
      <w:r w:rsidR="00380926" w:rsidRPr="0055056D">
        <w:t>the government’s</w:t>
      </w:r>
      <w:r w:rsidR="00C61358" w:rsidRPr="0055056D">
        <w:t xml:space="preserve"> </w:t>
      </w:r>
      <w:r w:rsidR="004F732A" w:rsidRPr="0055056D">
        <w:t>‘anti-Brussels’ rhetoric and</w:t>
      </w:r>
      <w:r w:rsidR="00155950" w:rsidRPr="0055056D">
        <w:t>,</w:t>
      </w:r>
      <w:r w:rsidR="004F732A" w:rsidRPr="0055056D">
        <w:t xml:space="preserve"> </w:t>
      </w:r>
      <w:r w:rsidR="005B7A10" w:rsidRPr="0055056D">
        <w:t>in line with that</w:t>
      </w:r>
      <w:r w:rsidR="00155950" w:rsidRPr="0055056D">
        <w:t>,</w:t>
      </w:r>
      <w:r w:rsidR="005B7A10" w:rsidRPr="0055056D">
        <w:t xml:space="preserve"> its continued attempts to exempt Hungary from its legal obligation</w:t>
      </w:r>
      <w:r w:rsidR="00DE5FF9" w:rsidRPr="0055056D">
        <w:t>s</w:t>
      </w:r>
      <w:r w:rsidR="005B7A10" w:rsidRPr="0055056D">
        <w:t xml:space="preserve"> under EU law, </w:t>
      </w:r>
      <w:r w:rsidR="003B33A5" w:rsidRPr="0055056D">
        <w:t xml:space="preserve">rather than complying with the CJEU ruling </w:t>
      </w:r>
      <w:r w:rsidR="000706C2" w:rsidRPr="0055056D">
        <w:t>in the case</w:t>
      </w:r>
      <w:r w:rsidR="0006546B" w:rsidRPr="0055056D">
        <w:t xml:space="preserve"> </w:t>
      </w:r>
      <w:r w:rsidR="0006546B" w:rsidRPr="0055056D">
        <w:rPr>
          <w:i/>
          <w:iCs/>
        </w:rPr>
        <w:t xml:space="preserve">Commission v Hungary, C-808/18, </w:t>
      </w:r>
      <w:r w:rsidR="00B427CE" w:rsidRPr="0055056D">
        <w:t xml:space="preserve">that found the country in violation of the EU asylum </w:t>
      </w:r>
      <w:r w:rsidR="00B427CE" w:rsidRPr="0055056D">
        <w:rPr>
          <w:i/>
          <w:iCs/>
        </w:rPr>
        <w:t>acquis</w:t>
      </w:r>
      <w:r w:rsidR="00351917" w:rsidRPr="0055056D">
        <w:rPr>
          <w:rStyle w:val="Rimandonotaapidipagina"/>
        </w:rPr>
        <w:footnoteReference w:id="29"/>
      </w:r>
      <w:r w:rsidR="00B427CE" w:rsidRPr="0055056D">
        <w:t xml:space="preserve">, </w:t>
      </w:r>
      <w:r w:rsidR="00D46CA1" w:rsidRPr="0055056D">
        <w:t xml:space="preserve">the government </w:t>
      </w:r>
      <w:r w:rsidR="00B3445F" w:rsidRPr="0055056D">
        <w:t>petitioned the Constitutional Court</w:t>
      </w:r>
      <w:r w:rsidR="000706C2" w:rsidRPr="0055056D">
        <w:t xml:space="preserve"> </w:t>
      </w:r>
      <w:r w:rsidR="00F03671" w:rsidRPr="0055056D">
        <w:t>– in effect, seeking a constitutional ground for the non-</w:t>
      </w:r>
      <w:r w:rsidR="000706C2" w:rsidRPr="0055056D">
        <w:t xml:space="preserve">implementation of the </w:t>
      </w:r>
      <w:r w:rsidR="00F03671" w:rsidRPr="0055056D">
        <w:t xml:space="preserve">CJEU </w:t>
      </w:r>
      <w:r w:rsidR="000706C2" w:rsidRPr="0055056D">
        <w:t>judgment.</w:t>
      </w:r>
      <w:r w:rsidR="00B3445F" w:rsidRPr="0055056D">
        <w:t xml:space="preserve"> </w:t>
      </w:r>
      <w:r w:rsidR="000706C2" w:rsidRPr="0055056D">
        <w:t>The CC</w:t>
      </w:r>
      <w:r w:rsidR="00290FBD" w:rsidRPr="0055056D">
        <w:t xml:space="preserve"> </w:t>
      </w:r>
      <w:r w:rsidR="001B23D0" w:rsidRPr="0055056D">
        <w:t xml:space="preserve">indeed </w:t>
      </w:r>
      <w:r w:rsidR="00290FBD" w:rsidRPr="0055056D">
        <w:t>found that “as</w:t>
      </w:r>
      <w:r w:rsidR="00A54ED7" w:rsidRPr="0055056D">
        <w:t xml:space="preserve"> long as the EU institutions do not take the measures necessary to ensure the effectiveness of the joint exercise of competences, Hungary is entitled to exercise the relevant non-exclusive field of competence of the EU</w:t>
      </w:r>
      <w:r w:rsidR="00EE4C88" w:rsidRPr="0055056D">
        <w:t>”</w:t>
      </w:r>
      <w:r w:rsidR="00EE4C88" w:rsidRPr="0055056D">
        <w:rPr>
          <w:rStyle w:val="Rimandonotaapidipagina"/>
        </w:rPr>
        <w:footnoteReference w:id="30"/>
      </w:r>
      <w:r w:rsidR="00EE4C88" w:rsidRPr="0055056D">
        <w:t xml:space="preserve">. </w:t>
      </w:r>
      <w:r w:rsidR="00D70DFF" w:rsidRPr="0055056D">
        <w:t xml:space="preserve">In response, the Commission </w:t>
      </w:r>
      <w:r w:rsidR="00E11A10" w:rsidRPr="0055056D">
        <w:t xml:space="preserve">brought action against Hungary before the CJEU </w:t>
      </w:r>
      <w:r w:rsidR="00D95BEB" w:rsidRPr="0055056D">
        <w:t xml:space="preserve">requesting, among others, that </w:t>
      </w:r>
      <w:r w:rsidR="00F24AF0" w:rsidRPr="0055056D">
        <w:t xml:space="preserve">the court </w:t>
      </w:r>
      <w:r w:rsidR="00D95BEB" w:rsidRPr="0055056D">
        <w:t>declare</w:t>
      </w:r>
      <w:r w:rsidR="00F24AF0" w:rsidRPr="0055056D">
        <w:t>s</w:t>
      </w:r>
      <w:r w:rsidR="00D95BEB" w:rsidRPr="0055056D">
        <w:t xml:space="preserve"> that Hungary has failed to fulfil its obligations under Article 260(1) TFEU, in not taking all the necessary measures to comply with the </w:t>
      </w:r>
      <w:r w:rsidR="003A21C1" w:rsidRPr="0055056D">
        <w:t xml:space="preserve">CJEU </w:t>
      </w:r>
      <w:r w:rsidR="00D95BEB" w:rsidRPr="0055056D">
        <w:t xml:space="preserve">judgment </w:t>
      </w:r>
      <w:r w:rsidR="003A21C1" w:rsidRPr="0055056D">
        <w:t>of</w:t>
      </w:r>
      <w:r w:rsidR="00D95BEB" w:rsidRPr="0055056D">
        <w:t xml:space="preserve"> 17 December 2020 </w:t>
      </w:r>
      <w:r w:rsidR="003A21C1" w:rsidRPr="0055056D">
        <w:t>concerning the r</w:t>
      </w:r>
      <w:r w:rsidR="00D95BEB" w:rsidRPr="0055056D">
        <w:t>eception of applicants for international protection</w:t>
      </w:r>
      <w:r w:rsidR="003A21C1" w:rsidRPr="0055056D">
        <w:rPr>
          <w:rStyle w:val="Rimandonotaapidipagina"/>
        </w:rPr>
        <w:footnoteReference w:id="31"/>
      </w:r>
      <w:r w:rsidR="003A21C1" w:rsidRPr="0055056D">
        <w:t>.</w:t>
      </w:r>
    </w:p>
    <w:p w14:paraId="63420DF6" w14:textId="77777777" w:rsidR="00765831" w:rsidRPr="0055056D" w:rsidRDefault="00765831" w:rsidP="00290FBD">
      <w:pPr>
        <w:pStyle w:val="MBT"/>
      </w:pPr>
    </w:p>
    <w:p w14:paraId="478F676F" w14:textId="77777777" w:rsidR="00131239" w:rsidRPr="0055056D" w:rsidRDefault="00131239" w:rsidP="00AD3D7D">
      <w:pPr>
        <w:pStyle w:val="MH2"/>
        <w:rPr>
          <w:lang w:val="en-US"/>
        </w:rPr>
      </w:pPr>
      <w:r w:rsidRPr="0055056D">
        <w:t>Protection against</w:t>
      </w:r>
      <w:r w:rsidRPr="0055056D">
        <w:rPr>
          <w:lang w:val="en-US"/>
        </w:rPr>
        <w:t xml:space="preserve"> threats to Fundamental Rights </w:t>
      </w:r>
    </w:p>
    <w:p w14:paraId="4B11CCA9" w14:textId="7F6ECA67" w:rsidR="00A267AA" w:rsidRPr="0055056D" w:rsidRDefault="004C7114" w:rsidP="004C7114">
      <w:pPr>
        <w:pStyle w:val="MBT"/>
        <w:rPr>
          <w:lang w:val="en-US" w:eastAsia="ar-SA"/>
        </w:rPr>
      </w:pPr>
      <w:r w:rsidRPr="0055056D">
        <w:rPr>
          <w:lang w:eastAsia="ar-SA"/>
        </w:rPr>
        <w:t xml:space="preserve"> </w:t>
      </w:r>
      <w:r w:rsidR="00131239" w:rsidRPr="0055056D">
        <w:rPr>
          <w:lang w:eastAsia="ar-SA"/>
        </w:rPr>
        <w:t xml:space="preserve"> </w:t>
      </w:r>
      <w:r w:rsidRPr="0055056D">
        <w:rPr>
          <w:lang w:eastAsia="ar-SA"/>
        </w:rPr>
        <w:t xml:space="preserve"> </w:t>
      </w:r>
      <w:r w:rsidR="00E7732C" w:rsidRPr="0055056D">
        <w:rPr>
          <w:i/>
          <w:iCs/>
          <w:color w:val="FF0000"/>
          <w:lang w:val="en-US" w:eastAsia="ar-SA"/>
        </w:rPr>
        <w:t xml:space="preserve">This section should cover political, </w:t>
      </w:r>
      <w:proofErr w:type="gramStart"/>
      <w:r w:rsidR="00E7732C" w:rsidRPr="0055056D">
        <w:rPr>
          <w:i/>
          <w:iCs/>
          <w:color w:val="FF0000"/>
          <w:lang w:val="en-US" w:eastAsia="ar-SA"/>
        </w:rPr>
        <w:t>civil</w:t>
      </w:r>
      <w:proofErr w:type="gramEnd"/>
      <w:r w:rsidR="00E7732C" w:rsidRPr="0055056D">
        <w:rPr>
          <w:i/>
          <w:iCs/>
          <w:color w:val="FF0000"/>
          <w:lang w:val="en-US" w:eastAsia="ar-SA"/>
        </w:rPr>
        <w:t xml:space="preserve"> and social fundamental rights, including environmental rights</w:t>
      </w:r>
      <w:r w:rsidR="00E7732C" w:rsidRPr="0055056D">
        <w:rPr>
          <w:color w:val="FF0000"/>
          <w:lang w:val="en-US" w:eastAsia="ar-SA"/>
        </w:rPr>
        <w:t xml:space="preserve">. </w:t>
      </w:r>
    </w:p>
    <w:p w14:paraId="5F4DC96C" w14:textId="77777777" w:rsidR="00A267AA" w:rsidRPr="0055056D" w:rsidRDefault="00A267AA" w:rsidP="004C7114">
      <w:pPr>
        <w:pStyle w:val="MBT"/>
        <w:rPr>
          <w:lang w:val="en-US" w:eastAsia="ar-SA"/>
        </w:rPr>
      </w:pPr>
    </w:p>
    <w:p w14:paraId="57ADE9AD" w14:textId="57EE887D" w:rsidR="0017068F" w:rsidRPr="0055056D" w:rsidRDefault="0017068F" w:rsidP="00456D07">
      <w:pPr>
        <w:pStyle w:val="MBT"/>
        <w:rPr>
          <w:color w:val="000000" w:themeColor="text1"/>
          <w:lang w:val="en-US"/>
        </w:rPr>
      </w:pPr>
      <w:r w:rsidRPr="0055056D">
        <w:rPr>
          <w:lang w:eastAsia="ar-SA"/>
        </w:rPr>
        <w:t>The Fundamental Law</w:t>
      </w:r>
      <w:r w:rsidRPr="0055056D" w:rsidDel="00530B1F">
        <w:rPr>
          <w:lang w:eastAsia="ar-SA"/>
        </w:rPr>
        <w:t xml:space="preserve"> </w:t>
      </w:r>
      <w:r w:rsidRPr="0055056D">
        <w:rPr>
          <w:lang w:eastAsia="ar-SA"/>
        </w:rPr>
        <w:t xml:space="preserve">assigns as </w:t>
      </w:r>
      <w:r w:rsidR="003044DE" w:rsidRPr="0055056D">
        <w:rPr>
          <w:lang w:eastAsia="ar-SA"/>
        </w:rPr>
        <w:t xml:space="preserve">the </w:t>
      </w:r>
      <w:r w:rsidRPr="0055056D">
        <w:rPr>
          <w:lang w:eastAsia="ar-SA"/>
        </w:rPr>
        <w:t xml:space="preserve">primary obligation of the state the protection of the inviolable and inalienable fundamental rights of human beings. Pursuant to Article </w:t>
      </w:r>
      <w:r w:rsidR="008D1111" w:rsidRPr="0055056D">
        <w:rPr>
          <w:lang w:eastAsia="ar-SA"/>
        </w:rPr>
        <w:t>I</w:t>
      </w:r>
      <w:r w:rsidR="00B07F40" w:rsidRPr="0055056D">
        <w:rPr>
          <w:lang w:eastAsia="ar-SA"/>
        </w:rPr>
        <w:t xml:space="preserve"> para. </w:t>
      </w:r>
      <w:r w:rsidRPr="0055056D">
        <w:rPr>
          <w:lang w:eastAsia="ar-SA"/>
        </w:rPr>
        <w:t xml:space="preserve">(3) of the Chapter on freedom and responsibility, </w:t>
      </w:r>
      <w:r w:rsidR="009D0A35" w:rsidRPr="0055056D">
        <w:rPr>
          <w:lang w:eastAsia="ar-SA"/>
        </w:rPr>
        <w:t>“</w:t>
      </w:r>
      <w:r w:rsidRPr="0055056D">
        <w:rPr>
          <w:lang w:eastAsia="ar-SA"/>
        </w:rPr>
        <w:t xml:space="preserve">a fundamental right may only be restricted to allow the effective use of another fundamental right or to protect a </w:t>
      </w:r>
      <w:r w:rsidR="002C06BF" w:rsidRPr="0055056D">
        <w:rPr>
          <w:lang w:eastAsia="ar-SA"/>
        </w:rPr>
        <w:t>C</w:t>
      </w:r>
      <w:r w:rsidRPr="0055056D">
        <w:rPr>
          <w:lang w:eastAsia="ar-SA"/>
        </w:rPr>
        <w:t>onstitutional value, to the extent absolutely necessary, proportionate to the objective pursued and with full respect for the essential content of that fundamental right</w:t>
      </w:r>
      <w:r w:rsidR="009D0A35" w:rsidRPr="0055056D">
        <w:rPr>
          <w:lang w:eastAsia="ar-SA"/>
        </w:rPr>
        <w:t>”</w:t>
      </w:r>
      <w:r w:rsidRPr="0055056D">
        <w:rPr>
          <w:lang w:eastAsia="ar-SA"/>
        </w:rPr>
        <w:t>. Protection from discrimination is also guaranteed</w:t>
      </w:r>
      <w:r w:rsidR="00B72B51" w:rsidRPr="0055056D">
        <w:rPr>
          <w:lang w:eastAsia="ar-SA"/>
        </w:rPr>
        <w:t xml:space="preserve"> by the Fundamental </w:t>
      </w:r>
      <w:r w:rsidR="00153A80" w:rsidRPr="0055056D">
        <w:rPr>
          <w:lang w:eastAsia="ar-SA"/>
        </w:rPr>
        <w:t>L</w:t>
      </w:r>
      <w:r w:rsidR="00B72B51" w:rsidRPr="0055056D">
        <w:rPr>
          <w:lang w:eastAsia="ar-SA"/>
        </w:rPr>
        <w:t>aw</w:t>
      </w:r>
      <w:r w:rsidR="00F75182" w:rsidRPr="0055056D">
        <w:rPr>
          <w:lang w:eastAsia="ar-SA"/>
        </w:rPr>
        <w:t xml:space="preserve"> which, however, does not expressly </w:t>
      </w:r>
      <w:r w:rsidR="00FB0C89" w:rsidRPr="0055056D">
        <w:rPr>
          <w:lang w:eastAsia="ar-SA"/>
        </w:rPr>
        <w:t>recognise</w:t>
      </w:r>
      <w:r w:rsidRPr="0055056D">
        <w:rPr>
          <w:lang w:eastAsia="ar-SA"/>
        </w:rPr>
        <w:t xml:space="preserve"> </w:t>
      </w:r>
      <w:r w:rsidR="00F75182" w:rsidRPr="0055056D">
        <w:rPr>
          <w:lang w:eastAsia="ar-SA"/>
        </w:rPr>
        <w:t>g</w:t>
      </w:r>
      <w:r w:rsidRPr="0055056D">
        <w:rPr>
          <w:lang w:eastAsia="ar-SA"/>
        </w:rPr>
        <w:t xml:space="preserve">ender and sexual orientation </w:t>
      </w:r>
      <w:r w:rsidR="00F75182" w:rsidRPr="0055056D">
        <w:rPr>
          <w:lang w:eastAsia="ar-SA"/>
        </w:rPr>
        <w:t>as</w:t>
      </w:r>
      <w:r w:rsidRPr="0055056D" w:rsidDel="00F75182">
        <w:rPr>
          <w:lang w:eastAsia="ar-SA"/>
        </w:rPr>
        <w:t xml:space="preserve"> </w:t>
      </w:r>
      <w:r w:rsidR="00F75182" w:rsidRPr="0055056D">
        <w:rPr>
          <w:lang w:eastAsia="ar-SA"/>
        </w:rPr>
        <w:t xml:space="preserve">a </w:t>
      </w:r>
      <w:r w:rsidRPr="0055056D">
        <w:rPr>
          <w:lang w:eastAsia="ar-SA"/>
        </w:rPr>
        <w:t>protected ground</w:t>
      </w:r>
      <w:r w:rsidR="00456D07" w:rsidRPr="0055056D">
        <w:rPr>
          <w:lang w:eastAsia="ar-SA"/>
        </w:rPr>
        <w:t>.</w:t>
      </w:r>
      <w:r w:rsidR="00FB0C89" w:rsidRPr="0055056D">
        <w:rPr>
          <w:lang w:eastAsia="ar-SA"/>
        </w:rPr>
        <w:t xml:space="preserve"> </w:t>
      </w:r>
      <w:r w:rsidR="00456D07" w:rsidRPr="0055056D">
        <w:rPr>
          <w:lang w:eastAsia="ar-SA"/>
        </w:rPr>
        <w:t xml:space="preserve"> </w:t>
      </w:r>
      <w:r w:rsidR="00707B1E" w:rsidRPr="0055056D">
        <w:rPr>
          <w:lang w:eastAsia="ar-SA"/>
        </w:rPr>
        <w:t>Nevertheless,</w:t>
      </w:r>
      <w:r w:rsidR="00F75182" w:rsidRPr="0055056D">
        <w:rPr>
          <w:lang w:eastAsia="ar-SA"/>
        </w:rPr>
        <w:t xml:space="preserve"> Decision No. 20/1999 (25.VI.) of the Constitutional Court confirmed that the protection granted on the basis of </w:t>
      </w:r>
      <w:r w:rsidR="00456D07" w:rsidRPr="0055056D">
        <w:rPr>
          <w:lang w:eastAsia="ar-SA"/>
        </w:rPr>
        <w:t>‘</w:t>
      </w:r>
      <w:r w:rsidR="00F75182" w:rsidRPr="0055056D">
        <w:rPr>
          <w:lang w:eastAsia="ar-SA"/>
        </w:rPr>
        <w:t xml:space="preserve">other </w:t>
      </w:r>
      <w:proofErr w:type="gramStart"/>
      <w:r w:rsidR="00456D07" w:rsidRPr="0055056D">
        <w:rPr>
          <w:lang w:eastAsia="ar-SA"/>
        </w:rPr>
        <w:t>status’</w:t>
      </w:r>
      <w:proofErr w:type="gramEnd"/>
      <w:r w:rsidR="00F75182" w:rsidRPr="0055056D">
        <w:rPr>
          <w:lang w:eastAsia="ar-SA"/>
        </w:rPr>
        <w:t xml:space="preserve"> applies to</w:t>
      </w:r>
      <w:r w:rsidR="00456D07" w:rsidRPr="0055056D">
        <w:rPr>
          <w:lang w:eastAsia="ar-SA"/>
        </w:rPr>
        <w:t xml:space="preserve"> </w:t>
      </w:r>
      <w:r w:rsidR="00F75182" w:rsidRPr="0055056D">
        <w:rPr>
          <w:lang w:eastAsia="ar-SA"/>
        </w:rPr>
        <w:t>sexual orientation</w:t>
      </w:r>
      <w:r w:rsidR="00707B1E" w:rsidRPr="0055056D">
        <w:rPr>
          <w:lang w:eastAsia="ar-SA"/>
        </w:rPr>
        <w:t xml:space="preserve"> i.e., </w:t>
      </w:r>
      <w:r w:rsidR="005D01F5" w:rsidRPr="0055056D">
        <w:rPr>
          <w:lang w:eastAsia="ar-SA"/>
        </w:rPr>
        <w:t>discrimination on the basis of sexual orientation is unconstitutional according to the CC jurisprudence</w:t>
      </w:r>
      <w:r w:rsidR="008208BD" w:rsidRPr="0055056D">
        <w:rPr>
          <w:rStyle w:val="Rimandonotaapidipagina"/>
          <w:lang w:eastAsia="ar-SA"/>
        </w:rPr>
        <w:footnoteReference w:id="32"/>
      </w:r>
      <w:r w:rsidR="00F75182" w:rsidRPr="0055056D">
        <w:rPr>
          <w:lang w:eastAsia="ar-SA"/>
        </w:rPr>
        <w:t>.</w:t>
      </w:r>
      <w:r w:rsidR="00F75182" w:rsidRPr="0055056D" w:rsidDel="00F75182">
        <w:rPr>
          <w:lang w:eastAsia="ar-SA"/>
        </w:rPr>
        <w:t xml:space="preserve"> </w:t>
      </w:r>
      <w:r w:rsidR="00166538" w:rsidRPr="0055056D">
        <w:rPr>
          <w:color w:val="000000" w:themeColor="text1"/>
          <w:lang w:val="en-US"/>
        </w:rPr>
        <w:t>Under the</w:t>
      </w:r>
      <w:r w:rsidR="00166538" w:rsidRPr="0055056D">
        <w:rPr>
          <w:b/>
          <w:bCs w:val="0"/>
          <w:color w:val="000000" w:themeColor="text1"/>
          <w:lang w:val="en-US"/>
        </w:rPr>
        <w:t xml:space="preserve"> </w:t>
      </w:r>
      <w:r w:rsidR="00166538" w:rsidRPr="0055056D">
        <w:rPr>
          <w:color w:val="000000" w:themeColor="text1"/>
          <w:lang w:val="en-US"/>
        </w:rPr>
        <w:t xml:space="preserve">constitutional complaint procedure, an affected individual or an organization can turn to the CC once they exhausted all judicial remedies before the ordinary courts with a claim of a violation of their </w:t>
      </w:r>
      <w:r w:rsidR="00166538" w:rsidRPr="0055056D">
        <w:rPr>
          <w:color w:val="000000" w:themeColor="text1"/>
          <w:lang w:val="en-US"/>
        </w:rPr>
        <w:lastRenderedPageBreak/>
        <w:t>constitutional rights</w:t>
      </w:r>
      <w:r w:rsidR="00166538" w:rsidRPr="0055056D">
        <w:rPr>
          <w:rStyle w:val="Rimandonotaapidipagina"/>
          <w:color w:val="000000" w:themeColor="text1"/>
          <w:lang w:val="en-US"/>
        </w:rPr>
        <w:footnoteReference w:id="33"/>
      </w:r>
      <w:r w:rsidR="00166538" w:rsidRPr="0055056D">
        <w:rPr>
          <w:color w:val="000000" w:themeColor="text1"/>
          <w:lang w:val="en-US"/>
        </w:rPr>
        <w:t>. However, the procedure is used with limited efficacy, as many of the complaints are rejected as inadmissible or discontinued due to the challenged rules no longer being in force</w:t>
      </w:r>
      <w:r w:rsidR="00166538" w:rsidRPr="0055056D">
        <w:rPr>
          <w:rStyle w:val="Rimandonotaapidipagina"/>
          <w:color w:val="000000" w:themeColor="text1"/>
          <w:lang w:val="en-US"/>
        </w:rPr>
        <w:footnoteReference w:id="34"/>
      </w:r>
      <w:r w:rsidR="00166538" w:rsidRPr="0055056D">
        <w:rPr>
          <w:color w:val="000000" w:themeColor="text1"/>
          <w:lang w:val="en-US"/>
        </w:rPr>
        <w:t xml:space="preserve">. The latter is a severe limitation in a rapidly changing regulatory environment where the government has for years resorted to decree-governance during continued ‘state of dangers’ (a form of state of emergency under the Fundamental Law). </w:t>
      </w:r>
    </w:p>
    <w:p w14:paraId="37E59B25" w14:textId="77777777" w:rsidR="00AD1938" w:rsidRPr="0055056D" w:rsidRDefault="003E6AFD" w:rsidP="00F20A97">
      <w:pPr>
        <w:pStyle w:val="MBT"/>
        <w:rPr>
          <w:color w:val="000000" w:themeColor="text1"/>
        </w:rPr>
      </w:pPr>
      <w:r w:rsidRPr="0055056D">
        <w:rPr>
          <w:color w:val="000000" w:themeColor="text1"/>
        </w:rPr>
        <w:t>Despite the constitution</w:t>
      </w:r>
      <w:r w:rsidR="00827AFA" w:rsidRPr="0055056D">
        <w:rPr>
          <w:color w:val="000000" w:themeColor="text1"/>
        </w:rPr>
        <w:t>al</w:t>
      </w:r>
      <w:r w:rsidRPr="0055056D">
        <w:rPr>
          <w:color w:val="000000" w:themeColor="text1"/>
        </w:rPr>
        <w:t xml:space="preserve"> protection, </w:t>
      </w:r>
      <w:r w:rsidR="00DC6F25" w:rsidRPr="0055056D">
        <w:rPr>
          <w:b/>
          <w:bCs w:val="0"/>
          <w:color w:val="000000" w:themeColor="text1"/>
        </w:rPr>
        <w:t>systemic human rights violations</w:t>
      </w:r>
      <w:r w:rsidR="00DC6F25" w:rsidRPr="0055056D">
        <w:rPr>
          <w:color w:val="000000" w:themeColor="text1"/>
        </w:rPr>
        <w:t xml:space="preserve"> </w:t>
      </w:r>
      <w:r w:rsidR="0033141C" w:rsidRPr="0055056D">
        <w:rPr>
          <w:color w:val="000000" w:themeColor="text1"/>
        </w:rPr>
        <w:t>have been taking place</w:t>
      </w:r>
      <w:r w:rsidR="008C0967" w:rsidRPr="0055056D">
        <w:rPr>
          <w:color w:val="000000" w:themeColor="text1"/>
        </w:rPr>
        <w:t xml:space="preserve">, </w:t>
      </w:r>
      <w:r w:rsidR="008C0967" w:rsidRPr="0055056D">
        <w:rPr>
          <w:b/>
          <w:bCs w:val="0"/>
          <w:color w:val="000000" w:themeColor="text1"/>
        </w:rPr>
        <w:t>affecting</w:t>
      </w:r>
      <w:r w:rsidR="008C0967" w:rsidRPr="0055056D">
        <w:rPr>
          <w:color w:val="000000" w:themeColor="text1"/>
        </w:rPr>
        <w:t xml:space="preserve"> </w:t>
      </w:r>
      <w:proofErr w:type="gramStart"/>
      <w:r w:rsidR="00F51CBD" w:rsidRPr="0055056D">
        <w:rPr>
          <w:b/>
          <w:bCs w:val="0"/>
          <w:color w:val="000000" w:themeColor="text1"/>
        </w:rPr>
        <w:t xml:space="preserve">in particular </w:t>
      </w:r>
      <w:r w:rsidR="00582A1B" w:rsidRPr="0055056D">
        <w:rPr>
          <w:b/>
          <w:bCs w:val="0"/>
          <w:color w:val="000000" w:themeColor="text1"/>
        </w:rPr>
        <w:t>LGBTQI</w:t>
      </w:r>
      <w:proofErr w:type="gramEnd"/>
      <w:r w:rsidR="00582A1B" w:rsidRPr="0055056D">
        <w:rPr>
          <w:b/>
          <w:bCs w:val="0"/>
          <w:color w:val="000000" w:themeColor="text1"/>
        </w:rPr>
        <w:t xml:space="preserve"> people</w:t>
      </w:r>
      <w:r w:rsidR="002068C5" w:rsidRPr="0055056D">
        <w:rPr>
          <w:b/>
          <w:bCs w:val="0"/>
          <w:color w:val="000000" w:themeColor="text1"/>
        </w:rPr>
        <w:t xml:space="preserve">, </w:t>
      </w:r>
      <w:r w:rsidR="00294C53" w:rsidRPr="0055056D">
        <w:rPr>
          <w:b/>
          <w:bCs w:val="0"/>
          <w:color w:val="000000" w:themeColor="text1"/>
        </w:rPr>
        <w:t>refugees and migrants</w:t>
      </w:r>
      <w:r w:rsidR="00721CB1" w:rsidRPr="0055056D">
        <w:rPr>
          <w:b/>
          <w:bCs w:val="0"/>
          <w:color w:val="000000" w:themeColor="text1"/>
        </w:rPr>
        <w:t>,</w:t>
      </w:r>
      <w:r w:rsidR="008904ED" w:rsidRPr="0055056D">
        <w:rPr>
          <w:b/>
          <w:bCs w:val="0"/>
          <w:color w:val="000000" w:themeColor="text1"/>
        </w:rPr>
        <w:t xml:space="preserve"> </w:t>
      </w:r>
      <w:r w:rsidR="00721CB1" w:rsidRPr="0055056D">
        <w:rPr>
          <w:b/>
          <w:bCs w:val="0"/>
          <w:color w:val="000000" w:themeColor="text1"/>
        </w:rPr>
        <w:t>Roma people</w:t>
      </w:r>
      <w:r w:rsidR="003C010A" w:rsidRPr="0055056D">
        <w:rPr>
          <w:b/>
          <w:bCs w:val="0"/>
          <w:color w:val="000000" w:themeColor="text1"/>
        </w:rPr>
        <w:t xml:space="preserve"> and human rights defenders</w:t>
      </w:r>
      <w:r w:rsidR="00BC1A6F" w:rsidRPr="0055056D">
        <w:rPr>
          <w:rStyle w:val="Rimandonotaapidipagina"/>
          <w:color w:val="000000" w:themeColor="text1"/>
        </w:rPr>
        <w:footnoteReference w:id="35"/>
      </w:r>
      <w:r w:rsidR="00393F9C" w:rsidRPr="0055056D">
        <w:rPr>
          <w:color w:val="000000" w:themeColor="text1"/>
        </w:rPr>
        <w:t>:</w:t>
      </w:r>
    </w:p>
    <w:p w14:paraId="53BD9E9C" w14:textId="2C2DFC3D" w:rsidR="00AD1938" w:rsidRPr="0055056D" w:rsidRDefault="00D027F2" w:rsidP="0028406E">
      <w:pPr>
        <w:pStyle w:val="MBTbullets"/>
      </w:pPr>
      <w:r w:rsidRPr="0055056D">
        <w:t>Starting with 2019,</w:t>
      </w:r>
      <w:r w:rsidR="007C62CB" w:rsidRPr="0055056D">
        <w:t xml:space="preserve"> </w:t>
      </w:r>
      <w:r w:rsidR="00122B1F" w:rsidRPr="0055056D">
        <w:rPr>
          <w:b/>
        </w:rPr>
        <w:t>LGBTQI people</w:t>
      </w:r>
      <w:r w:rsidR="00122B1F" w:rsidRPr="0055056D">
        <w:t xml:space="preserve"> </w:t>
      </w:r>
      <w:r w:rsidR="00012E87" w:rsidRPr="0055056D">
        <w:t>became the new target of the government’s hate propaganda</w:t>
      </w:r>
      <w:r w:rsidR="001C3348" w:rsidRPr="0055056D">
        <w:t xml:space="preserve"> (see for </w:t>
      </w:r>
      <w:r w:rsidR="00EB77EA" w:rsidRPr="0055056D">
        <w:t>example</w:t>
      </w:r>
      <w:r w:rsidR="001C3348" w:rsidRPr="0055056D">
        <w:t xml:space="preserve"> the </w:t>
      </w:r>
      <w:r w:rsidR="0088754D" w:rsidRPr="0055056D">
        <w:t>government’s</w:t>
      </w:r>
      <w:r w:rsidR="00144660" w:rsidRPr="0055056D">
        <w:t xml:space="preserve"> </w:t>
      </w:r>
      <w:r w:rsidR="00144660" w:rsidRPr="0055056D">
        <w:rPr>
          <w:rFonts w:eastAsia="Calibri"/>
          <w:lang w:eastAsia="en-US"/>
        </w:rPr>
        <w:t>“homophobic referendum” described under Section 2.5. below)</w:t>
      </w:r>
      <w:r w:rsidR="00012E87" w:rsidRPr="0055056D">
        <w:t xml:space="preserve">, after years of </w:t>
      </w:r>
      <w:r w:rsidR="001E1C04" w:rsidRPr="0055056D">
        <w:t>xenophobic hate campaigns</w:t>
      </w:r>
      <w:r w:rsidR="00134D0C" w:rsidRPr="0055056D">
        <w:t xml:space="preserve"> against migrants</w:t>
      </w:r>
      <w:r w:rsidR="00BB3D5C" w:rsidRPr="0055056D">
        <w:t xml:space="preserve"> and asylum-seekers</w:t>
      </w:r>
      <w:r w:rsidR="00134D0C" w:rsidRPr="0055056D">
        <w:t>.</w:t>
      </w:r>
      <w:r w:rsidR="00104B69" w:rsidRPr="0055056D">
        <w:t xml:space="preserve"> </w:t>
      </w:r>
      <w:proofErr w:type="gramStart"/>
      <w:r w:rsidR="007D5680" w:rsidRPr="0055056D">
        <w:t>A</w:t>
      </w:r>
      <w:r w:rsidR="00BA739A" w:rsidRPr="0055056D">
        <w:t xml:space="preserve"> </w:t>
      </w:r>
      <w:r w:rsidR="00B2374F" w:rsidRPr="0055056D">
        <w:t>number</w:t>
      </w:r>
      <w:r w:rsidR="00BA739A" w:rsidRPr="0055056D">
        <w:t xml:space="preserve"> of</w:t>
      </w:r>
      <w:proofErr w:type="gramEnd"/>
      <w:r w:rsidR="00BA739A" w:rsidRPr="0055056D">
        <w:t xml:space="preserve"> measures and laws were adopted </w:t>
      </w:r>
      <w:r w:rsidR="00EB289B" w:rsidRPr="0055056D">
        <w:t>severely</w:t>
      </w:r>
      <w:r w:rsidR="00BA739A" w:rsidRPr="0055056D">
        <w:t xml:space="preserve"> violat</w:t>
      </w:r>
      <w:r w:rsidR="006E7D84" w:rsidRPr="0055056D">
        <w:t>ing</w:t>
      </w:r>
      <w:r w:rsidR="00BA739A" w:rsidRPr="0055056D">
        <w:t xml:space="preserve"> the rights of LGBTQI people.</w:t>
      </w:r>
      <w:r w:rsidR="00EB77EA" w:rsidRPr="0055056D">
        <w:t xml:space="preserve"> For instance, </w:t>
      </w:r>
      <w:r w:rsidR="0011331E" w:rsidRPr="0055056D">
        <w:t>constitutional amendments further curtailed the rights of LGBTQI people</w:t>
      </w:r>
      <w:r w:rsidR="0011331E" w:rsidRPr="0055056D">
        <w:rPr>
          <w:rStyle w:val="Rimandonotaapidipagina"/>
          <w:color w:val="000000" w:themeColor="text1"/>
        </w:rPr>
        <w:footnoteReference w:id="36"/>
      </w:r>
      <w:r w:rsidR="0011331E" w:rsidRPr="0055056D">
        <w:t>, and laws were</w:t>
      </w:r>
      <w:r w:rsidR="00923F2D" w:rsidRPr="0055056D">
        <w:t xml:space="preserve"> adopted </w:t>
      </w:r>
      <w:r w:rsidR="0011331E" w:rsidRPr="0055056D">
        <w:t xml:space="preserve">for </w:t>
      </w:r>
      <w:r w:rsidR="00923F2D" w:rsidRPr="0055056D">
        <w:t>prohibiting legal gender recognition</w:t>
      </w:r>
      <w:r w:rsidR="002627FE" w:rsidRPr="0055056D">
        <w:rPr>
          <w:rStyle w:val="Rimandonotaapidipagina"/>
          <w:color w:val="000000" w:themeColor="text1"/>
        </w:rPr>
        <w:footnoteReference w:id="37"/>
      </w:r>
      <w:r w:rsidR="000B2552" w:rsidRPr="0055056D">
        <w:t>,</w:t>
      </w:r>
      <w:r w:rsidR="0011331E" w:rsidRPr="0055056D">
        <w:t xml:space="preserve"> for </w:t>
      </w:r>
      <w:r w:rsidR="00923F2D" w:rsidRPr="0055056D">
        <w:t>block</w:t>
      </w:r>
      <w:r w:rsidR="00D259DE" w:rsidRPr="0055056D">
        <w:t>ing</w:t>
      </w:r>
      <w:r w:rsidR="00923F2D" w:rsidRPr="0055056D">
        <w:t xml:space="preserve"> adoptions</w:t>
      </w:r>
      <w:r w:rsidR="00A30144" w:rsidRPr="0055056D">
        <w:t>, among others, for same-sex couples</w:t>
      </w:r>
      <w:r w:rsidR="00DA4A86" w:rsidRPr="0055056D">
        <w:rPr>
          <w:rStyle w:val="Rimandonotaapidipagina"/>
          <w:color w:val="000000" w:themeColor="text1"/>
        </w:rPr>
        <w:footnoteReference w:id="38"/>
      </w:r>
      <w:r w:rsidR="00614850" w:rsidRPr="0055056D">
        <w:t>, and for</w:t>
      </w:r>
      <w:r w:rsidR="00ED2597" w:rsidRPr="0055056D">
        <w:t xml:space="preserve"> the </w:t>
      </w:r>
      <w:r w:rsidR="005D7E1B" w:rsidRPr="0055056D">
        <w:t>protection of children while in effect discriminating</w:t>
      </w:r>
      <w:r w:rsidR="00934468" w:rsidRPr="0055056D">
        <w:t xml:space="preserve"> against</w:t>
      </w:r>
      <w:r w:rsidR="005D7E1B" w:rsidRPr="0055056D">
        <w:t xml:space="preserve"> and </w:t>
      </w:r>
      <w:r w:rsidR="00934468" w:rsidRPr="0055056D">
        <w:t>stigmatising</w:t>
      </w:r>
      <w:r w:rsidR="00ED2597" w:rsidRPr="0055056D">
        <w:t xml:space="preserve"> the LGBTQI community</w:t>
      </w:r>
      <w:r w:rsidR="004B6923" w:rsidRPr="0055056D">
        <w:rPr>
          <w:rStyle w:val="Rimandonotaapidipagina"/>
          <w:color w:val="000000" w:themeColor="text1"/>
        </w:rPr>
        <w:footnoteReference w:id="39"/>
      </w:r>
      <w:r w:rsidR="00A30144" w:rsidRPr="0055056D">
        <w:t>.</w:t>
      </w:r>
      <w:r w:rsidR="00AB6213" w:rsidRPr="0055056D">
        <w:t xml:space="preserve"> </w:t>
      </w:r>
    </w:p>
    <w:p w14:paraId="14BAC00A" w14:textId="205BF369" w:rsidR="00AD1938" w:rsidRPr="0055056D" w:rsidRDefault="00C64C1C" w:rsidP="0028406E">
      <w:pPr>
        <w:pStyle w:val="MBTbullets"/>
      </w:pPr>
      <w:r w:rsidRPr="0055056D">
        <w:t>Since 2015, t</w:t>
      </w:r>
      <w:r w:rsidR="00CA2E36" w:rsidRPr="0055056D">
        <w:t xml:space="preserve">he government has also </w:t>
      </w:r>
      <w:r w:rsidR="00EE0854" w:rsidRPr="0055056D">
        <w:t xml:space="preserve">continuously </w:t>
      </w:r>
      <w:r w:rsidR="00CA2E36" w:rsidRPr="0055056D">
        <w:t>destroyed the</w:t>
      </w:r>
      <w:r w:rsidR="00EE0854" w:rsidRPr="0055056D">
        <w:t xml:space="preserve"> </w:t>
      </w:r>
      <w:r w:rsidR="00AB6213" w:rsidRPr="0055056D">
        <w:rPr>
          <w:b/>
        </w:rPr>
        <w:t>Hungarian asylum system</w:t>
      </w:r>
      <w:r w:rsidR="00AB6213" w:rsidRPr="0055056D">
        <w:t xml:space="preserve">, and </w:t>
      </w:r>
      <w:r w:rsidR="005B5B26" w:rsidRPr="0055056D">
        <w:t>in 2020 introduced a new system that ma</w:t>
      </w:r>
      <w:r w:rsidR="00DC7569" w:rsidRPr="0055056D">
        <w:t>de</w:t>
      </w:r>
      <w:r w:rsidR="005B5B26" w:rsidRPr="0055056D">
        <w:t xml:space="preserve"> apply</w:t>
      </w:r>
      <w:r w:rsidR="00514264" w:rsidRPr="0055056D">
        <w:t>ing</w:t>
      </w:r>
      <w:r w:rsidR="005B5B26" w:rsidRPr="0055056D">
        <w:t xml:space="preserve"> for asylum</w:t>
      </w:r>
      <w:r w:rsidR="00A73102" w:rsidRPr="0055056D">
        <w:t xml:space="preserve"> in Hungary</w:t>
      </w:r>
      <w:r w:rsidR="00514264" w:rsidRPr="0055056D">
        <w:t xml:space="preserve"> </w:t>
      </w:r>
      <w:r w:rsidR="00B9709F" w:rsidRPr="0055056D">
        <w:t>practically impossible</w:t>
      </w:r>
      <w:r w:rsidR="00B9709F" w:rsidRPr="0055056D">
        <w:rPr>
          <w:rStyle w:val="Rimandonotaapidipagina"/>
          <w:color w:val="000000" w:themeColor="text1"/>
        </w:rPr>
        <w:footnoteReference w:id="40"/>
      </w:r>
      <w:r w:rsidR="005B5B26" w:rsidRPr="0055056D">
        <w:t>.</w:t>
      </w:r>
    </w:p>
    <w:p w14:paraId="3FE67BC3" w14:textId="4973EAEB" w:rsidR="00AD1938" w:rsidRPr="0055056D" w:rsidRDefault="00005CF5" w:rsidP="0028406E">
      <w:pPr>
        <w:pStyle w:val="MBTbullets"/>
      </w:pPr>
      <w:r w:rsidRPr="0055056D">
        <w:rPr>
          <w:b/>
        </w:rPr>
        <w:t>Educational s</w:t>
      </w:r>
      <w:r w:rsidR="00E3714F" w:rsidRPr="0055056D">
        <w:rPr>
          <w:b/>
        </w:rPr>
        <w:t xml:space="preserve">egregation of Roma </w:t>
      </w:r>
      <w:r w:rsidR="00DB3B40" w:rsidRPr="0055056D">
        <w:rPr>
          <w:b/>
        </w:rPr>
        <w:t>pupils</w:t>
      </w:r>
      <w:r w:rsidR="00E3714F" w:rsidRPr="0055056D">
        <w:t xml:space="preserve"> has been a serious problem in Hungary for decades</w:t>
      </w:r>
      <w:r w:rsidR="00501C98" w:rsidRPr="0055056D">
        <w:t xml:space="preserve"> and when a </w:t>
      </w:r>
      <w:r w:rsidR="007F0481" w:rsidRPr="0055056D">
        <w:t xml:space="preserve">second instance </w:t>
      </w:r>
      <w:r w:rsidR="00501C98" w:rsidRPr="0055056D">
        <w:t xml:space="preserve">court </w:t>
      </w:r>
      <w:r w:rsidR="00692DC4" w:rsidRPr="0055056D">
        <w:t>awarded</w:t>
      </w:r>
      <w:r w:rsidR="00501C98" w:rsidRPr="0055056D">
        <w:t xml:space="preserve"> </w:t>
      </w:r>
      <w:r w:rsidR="00934F9C" w:rsidRPr="0055056D">
        <w:t>compensation</w:t>
      </w:r>
      <w:r w:rsidR="002B185E" w:rsidRPr="0055056D">
        <w:t xml:space="preserve"> </w:t>
      </w:r>
      <w:r w:rsidR="005C3493" w:rsidRPr="0055056D">
        <w:t xml:space="preserve">to </w:t>
      </w:r>
      <w:r w:rsidR="002B185E" w:rsidRPr="0055056D">
        <w:t>60 Roma victims</w:t>
      </w:r>
      <w:r w:rsidR="00A0689D" w:rsidRPr="0055056D">
        <w:t>, high-level</w:t>
      </w:r>
      <w:r w:rsidR="002B185E" w:rsidRPr="0055056D">
        <w:t xml:space="preserve"> </w:t>
      </w:r>
      <w:r w:rsidR="00A0689D" w:rsidRPr="0055056D">
        <w:t xml:space="preserve">politicians </w:t>
      </w:r>
      <w:r w:rsidR="00437138" w:rsidRPr="0055056D">
        <w:t xml:space="preserve">from the governing party </w:t>
      </w:r>
      <w:r w:rsidR="007F2F84" w:rsidRPr="0055056D">
        <w:t xml:space="preserve">initiated a </w:t>
      </w:r>
      <w:r w:rsidR="00A0689D" w:rsidRPr="0055056D">
        <w:t>public campaign against the court ruling</w:t>
      </w:r>
      <w:r w:rsidR="00143C0B" w:rsidRPr="0055056D">
        <w:t xml:space="preserve">, </w:t>
      </w:r>
      <w:r w:rsidR="00AF0BC3" w:rsidRPr="0055056D">
        <w:t>questioning</w:t>
      </w:r>
      <w:r w:rsidR="00143C0B" w:rsidRPr="0055056D">
        <w:t xml:space="preserve"> its </w:t>
      </w:r>
      <w:r w:rsidR="0006736E" w:rsidRPr="0055056D">
        <w:t xml:space="preserve">credibility </w:t>
      </w:r>
      <w:r w:rsidR="00143C0B" w:rsidRPr="0055056D">
        <w:t xml:space="preserve">and </w:t>
      </w:r>
      <w:r w:rsidR="001436AE" w:rsidRPr="0055056D">
        <w:t xml:space="preserve">politically </w:t>
      </w:r>
      <w:r w:rsidR="00143C0B" w:rsidRPr="0055056D">
        <w:t xml:space="preserve">interfering </w:t>
      </w:r>
      <w:r w:rsidR="00CE361C" w:rsidRPr="0055056D">
        <w:t>in</w:t>
      </w:r>
      <w:r w:rsidR="00143C0B" w:rsidRPr="0055056D">
        <w:t xml:space="preserve"> </w:t>
      </w:r>
      <w:r w:rsidR="00D85059" w:rsidRPr="0055056D">
        <w:t xml:space="preserve">the case </w:t>
      </w:r>
      <w:r w:rsidR="00385955" w:rsidRPr="0055056D">
        <w:t>(</w:t>
      </w:r>
      <w:r w:rsidR="00D85059" w:rsidRPr="0055056D">
        <w:t xml:space="preserve">which was at that time pending </w:t>
      </w:r>
      <w:r w:rsidR="002F3002" w:rsidRPr="0055056D">
        <w:t>as the court decision was challenged at the Curia by the respondents</w:t>
      </w:r>
      <w:r w:rsidR="00385955" w:rsidRPr="0055056D">
        <w:t>)</w:t>
      </w:r>
      <w:r w:rsidR="00C52935" w:rsidRPr="0055056D">
        <w:rPr>
          <w:rStyle w:val="Rimandonotaapidipagina"/>
          <w:color w:val="000000" w:themeColor="text1"/>
        </w:rPr>
        <w:footnoteReference w:id="41"/>
      </w:r>
      <w:r w:rsidR="00A0689D" w:rsidRPr="0055056D">
        <w:t>.</w:t>
      </w:r>
      <w:r w:rsidR="00692DC4" w:rsidRPr="0055056D">
        <w:t xml:space="preserve"> </w:t>
      </w:r>
      <w:r w:rsidR="00EB186D" w:rsidRPr="0055056D">
        <w:t>After</w:t>
      </w:r>
      <w:r w:rsidR="00692DC4" w:rsidRPr="0055056D">
        <w:t xml:space="preserve"> the Curia upheld the second instance court’s decision, </w:t>
      </w:r>
      <w:r w:rsidR="00791CCB" w:rsidRPr="0055056D">
        <w:t xml:space="preserve">an amendment </w:t>
      </w:r>
      <w:r w:rsidR="0080394E" w:rsidRPr="0055056D">
        <w:t xml:space="preserve">to the National Public Education </w:t>
      </w:r>
      <w:r w:rsidR="00E874F7" w:rsidRPr="0055056D">
        <w:t>Act</w:t>
      </w:r>
      <w:r w:rsidR="0080394E" w:rsidRPr="0055056D">
        <w:rPr>
          <w:rStyle w:val="Rimandonotaapidipagina"/>
          <w:color w:val="000000" w:themeColor="text1"/>
        </w:rPr>
        <w:footnoteReference w:id="42"/>
      </w:r>
      <w:r w:rsidR="0080394E" w:rsidRPr="0055056D">
        <w:t xml:space="preserve"> was adopted, </w:t>
      </w:r>
      <w:r w:rsidR="0082783B" w:rsidRPr="0055056D">
        <w:t xml:space="preserve">obliging courts </w:t>
      </w:r>
      <w:r w:rsidR="00BC7A59" w:rsidRPr="0055056D">
        <w:t xml:space="preserve">to grant compensation </w:t>
      </w:r>
      <w:r w:rsidR="00055FBB" w:rsidRPr="0055056D">
        <w:t xml:space="preserve">in case of </w:t>
      </w:r>
      <w:r w:rsidR="003B6645" w:rsidRPr="0055056D">
        <w:t xml:space="preserve">similar </w:t>
      </w:r>
      <w:r w:rsidR="00055FBB" w:rsidRPr="0055056D">
        <w:t xml:space="preserve">future violations </w:t>
      </w:r>
      <w:r w:rsidR="00BC7A59" w:rsidRPr="0055056D">
        <w:t>in the form of educational service</w:t>
      </w:r>
      <w:r w:rsidR="00EC0C80" w:rsidRPr="0055056D">
        <w:t>s</w:t>
      </w:r>
      <w:r w:rsidR="00BC7A59" w:rsidRPr="0055056D">
        <w:t xml:space="preserve"> instead of monetary compensation for moral damages</w:t>
      </w:r>
      <w:r w:rsidR="00055FBB" w:rsidRPr="0055056D">
        <w:rPr>
          <w:rStyle w:val="Rimandonotaapidipagina"/>
          <w:color w:val="000000" w:themeColor="text1"/>
        </w:rPr>
        <w:footnoteReference w:id="43"/>
      </w:r>
      <w:r w:rsidR="00055FBB" w:rsidRPr="0055056D">
        <w:t>.</w:t>
      </w:r>
      <w:r w:rsidR="003C0BBE" w:rsidRPr="0055056D">
        <w:t xml:space="preserve"> This</w:t>
      </w:r>
      <w:r w:rsidR="00E24B68" w:rsidRPr="0055056D">
        <w:t xml:space="preserve"> latter</w:t>
      </w:r>
      <w:r w:rsidR="003C0BBE" w:rsidRPr="0055056D">
        <w:t xml:space="preserve"> is an example of how the government and the ruling majority use the law to undermine </w:t>
      </w:r>
      <w:r w:rsidR="00E02424" w:rsidRPr="0055056D">
        <w:t xml:space="preserve">respect for </w:t>
      </w:r>
      <w:r w:rsidR="003C0BBE" w:rsidRPr="0055056D">
        <w:lastRenderedPageBreak/>
        <w:t>court decisions</w:t>
      </w:r>
      <w:r w:rsidR="00FF4ED5" w:rsidRPr="0055056D">
        <w:rPr>
          <w:rStyle w:val="Rimandonotaapidipagina"/>
          <w:color w:val="000000" w:themeColor="text1"/>
        </w:rPr>
        <w:footnoteReference w:id="44"/>
      </w:r>
      <w:r w:rsidR="003C0BBE" w:rsidRPr="0055056D">
        <w:t>.</w:t>
      </w:r>
      <w:r w:rsidR="00E2213C" w:rsidRPr="0055056D">
        <w:t xml:space="preserve"> </w:t>
      </w:r>
    </w:p>
    <w:p w14:paraId="48D323FA" w14:textId="1394B1E2" w:rsidR="00E26DA8" w:rsidRPr="0055056D" w:rsidRDefault="0085072E" w:rsidP="0028406E">
      <w:pPr>
        <w:pStyle w:val="MBTbullets"/>
        <w:rPr>
          <w:lang w:val="en-US"/>
        </w:rPr>
      </w:pPr>
      <w:r w:rsidRPr="0055056D">
        <w:t xml:space="preserve">Governing party politicians have been making political statements trying to discredit </w:t>
      </w:r>
      <w:r w:rsidRPr="0055056D">
        <w:rPr>
          <w:b/>
        </w:rPr>
        <w:t>human rights defenders</w:t>
      </w:r>
      <w:r w:rsidRPr="0055056D">
        <w:t>, for instance those involved in the Roma segregation case described above or in other human rights cases</w:t>
      </w:r>
      <w:r w:rsidRPr="0055056D">
        <w:rPr>
          <w:rStyle w:val="Rimandonotaapidipagina"/>
          <w:color w:val="000000" w:themeColor="text1"/>
        </w:rPr>
        <w:footnoteReference w:id="45"/>
      </w:r>
      <w:r w:rsidRPr="0055056D">
        <w:t xml:space="preserve">. </w:t>
      </w:r>
      <w:r w:rsidR="00177766" w:rsidRPr="0055056D">
        <w:t xml:space="preserve">Furthermore, several legislative measures were adopted </w:t>
      </w:r>
      <w:r w:rsidR="006B5AB9" w:rsidRPr="0055056D">
        <w:t xml:space="preserve">to obstruct civic space in Hungary. For </w:t>
      </w:r>
      <w:r w:rsidR="0022267C" w:rsidRPr="0055056D">
        <w:t>example</w:t>
      </w:r>
      <w:r w:rsidR="006B5AB9" w:rsidRPr="0055056D">
        <w:t>, i</w:t>
      </w:r>
      <w:r w:rsidR="00770077" w:rsidRPr="0055056D">
        <w:t>n 2017, a law was adopted</w:t>
      </w:r>
      <w:r w:rsidR="00BD310C" w:rsidRPr="0055056D">
        <w:rPr>
          <w:rStyle w:val="Rimandonotaapidipagina"/>
          <w:color w:val="000000" w:themeColor="text1"/>
        </w:rPr>
        <w:footnoteReference w:id="46"/>
      </w:r>
      <w:r w:rsidR="00770077" w:rsidRPr="0055056D">
        <w:t xml:space="preserve"> </w:t>
      </w:r>
      <w:r w:rsidR="00705079" w:rsidRPr="0055056D">
        <w:t xml:space="preserve">which introduced </w:t>
      </w:r>
      <w:r w:rsidR="00390E8E" w:rsidRPr="0055056D">
        <w:t>“</w:t>
      </w:r>
      <w:r w:rsidR="00705079" w:rsidRPr="0055056D">
        <w:t xml:space="preserve">discriminatory and unjustified restrictions on foreign donations to </w:t>
      </w:r>
      <w:r w:rsidR="00705079" w:rsidRPr="0055056D">
        <w:rPr>
          <w:b/>
        </w:rPr>
        <w:t>civil society organisations</w:t>
      </w:r>
      <w:r w:rsidR="00390E8E" w:rsidRPr="0055056D">
        <w:t xml:space="preserve">”, </w:t>
      </w:r>
      <w:r w:rsidR="003452DD" w:rsidRPr="0055056D">
        <w:t xml:space="preserve">leading to a 2020 </w:t>
      </w:r>
      <w:r w:rsidR="006A79C8" w:rsidRPr="0055056D">
        <w:t>C</w:t>
      </w:r>
      <w:r w:rsidR="003452DD" w:rsidRPr="0055056D">
        <w:t>JEU judgement</w:t>
      </w:r>
      <w:r w:rsidR="005977C1" w:rsidRPr="0055056D">
        <w:rPr>
          <w:rStyle w:val="Rimandonotaapidipagina"/>
          <w:color w:val="000000" w:themeColor="text1"/>
        </w:rPr>
        <w:footnoteReference w:id="47"/>
      </w:r>
      <w:r w:rsidR="00C20D23" w:rsidRPr="0055056D">
        <w:t xml:space="preserve"> </w:t>
      </w:r>
      <w:r w:rsidR="00BD310C" w:rsidRPr="0055056D">
        <w:t>that</w:t>
      </w:r>
      <w:r w:rsidR="00C20D23" w:rsidRPr="0055056D">
        <w:t xml:space="preserve"> confirmed that </w:t>
      </w:r>
      <w:r w:rsidR="00461B4F" w:rsidRPr="0055056D">
        <w:t>the law</w:t>
      </w:r>
      <w:r w:rsidR="00C20D23" w:rsidRPr="0055056D">
        <w:t xml:space="preserve"> </w:t>
      </w:r>
      <w:r w:rsidR="009D5159" w:rsidRPr="0055056D">
        <w:t xml:space="preserve">and the restrictive measures introduced </w:t>
      </w:r>
      <w:r w:rsidR="00C20D23" w:rsidRPr="0055056D">
        <w:t>amount</w:t>
      </w:r>
      <w:r w:rsidR="00461B4F" w:rsidRPr="0055056D">
        <w:t>ed</w:t>
      </w:r>
      <w:r w:rsidR="00C20D23" w:rsidRPr="0055056D">
        <w:t xml:space="preserve"> to </w:t>
      </w:r>
      <w:r w:rsidR="00461B4F" w:rsidRPr="0055056D">
        <w:t>“</w:t>
      </w:r>
      <w:r w:rsidR="00C20D23" w:rsidRPr="0055056D">
        <w:t>unjustified interference with the respect for private life, protection of personal data and freedom of associatio</w:t>
      </w:r>
      <w:r w:rsidR="009D5159" w:rsidRPr="0055056D">
        <w:t>n […]</w:t>
      </w:r>
      <w:r w:rsidR="000B19E5" w:rsidRPr="0055056D">
        <w:t xml:space="preserve"> </w:t>
      </w:r>
      <w:r w:rsidR="00C20D23" w:rsidRPr="0055056D">
        <w:t>likely to create a general climate of mistrust and stigmatisation of the associations and foundations concerned in Hungary</w:t>
      </w:r>
      <w:r w:rsidR="000B19E5" w:rsidRPr="0055056D">
        <w:t>”</w:t>
      </w:r>
      <w:r w:rsidR="000B19E5" w:rsidRPr="0055056D">
        <w:rPr>
          <w:rStyle w:val="Rimandonotaapidipagina"/>
          <w:color w:val="000000" w:themeColor="text1"/>
        </w:rPr>
        <w:footnoteReference w:id="48"/>
      </w:r>
      <w:r w:rsidR="000B19E5" w:rsidRPr="0055056D">
        <w:t>.</w:t>
      </w:r>
      <w:r w:rsidR="006A79C8" w:rsidRPr="0055056D">
        <w:t xml:space="preserve"> </w:t>
      </w:r>
      <w:r w:rsidR="00146CDC" w:rsidRPr="0055056D">
        <w:t xml:space="preserve">After the Commission sent a letter of formal notice to Hungary </w:t>
      </w:r>
      <w:r w:rsidR="00BE037C" w:rsidRPr="0055056D">
        <w:t>for non-compliance with the CJEU ruling</w:t>
      </w:r>
      <w:r w:rsidR="00523101" w:rsidRPr="0055056D">
        <w:t xml:space="preserve">, </w:t>
      </w:r>
      <w:r w:rsidR="007C50EF" w:rsidRPr="0055056D">
        <w:t xml:space="preserve">in 2021 </w:t>
      </w:r>
      <w:r w:rsidR="00523101" w:rsidRPr="0055056D">
        <w:t>the Parliament adopted a new law</w:t>
      </w:r>
      <w:r w:rsidR="00B058D9" w:rsidRPr="0055056D">
        <w:rPr>
          <w:rStyle w:val="Rimandonotaapidipagina"/>
          <w:color w:val="000000" w:themeColor="text1"/>
        </w:rPr>
        <w:footnoteReference w:id="49"/>
      </w:r>
      <w:r w:rsidR="00523101" w:rsidRPr="0055056D">
        <w:t xml:space="preserve"> </w:t>
      </w:r>
      <w:r w:rsidR="00F21917" w:rsidRPr="0055056D">
        <w:t xml:space="preserve">which </w:t>
      </w:r>
      <w:r w:rsidR="005E48A0" w:rsidRPr="0055056D">
        <w:t>repealed</w:t>
      </w:r>
      <w:r w:rsidR="00F21917" w:rsidRPr="0055056D">
        <w:t xml:space="preserve"> </w:t>
      </w:r>
      <w:r w:rsidR="005E48A0" w:rsidRPr="0055056D">
        <w:t xml:space="preserve">the former </w:t>
      </w:r>
      <w:r w:rsidR="00FE1FD5" w:rsidRPr="0055056D">
        <w:t>contested one</w:t>
      </w:r>
      <w:r w:rsidR="005E48A0" w:rsidRPr="0055056D">
        <w:t xml:space="preserve">; however, it introduced </w:t>
      </w:r>
      <w:r w:rsidR="002E5C5C" w:rsidRPr="0055056D">
        <w:t xml:space="preserve">new </w:t>
      </w:r>
      <w:r w:rsidR="00FF6E8E" w:rsidRPr="0055056D">
        <w:t>measures</w:t>
      </w:r>
      <w:r w:rsidR="002E5C5C" w:rsidRPr="0055056D">
        <w:t xml:space="preserve">, </w:t>
      </w:r>
      <w:r w:rsidR="00127300" w:rsidRPr="0055056D">
        <w:t xml:space="preserve">influencing the operational space of NGOs and </w:t>
      </w:r>
      <w:r w:rsidR="00EE13AE" w:rsidRPr="0055056D">
        <w:t xml:space="preserve">further </w:t>
      </w:r>
      <w:r w:rsidR="00127300" w:rsidRPr="0055056D">
        <w:t>stigmatising them</w:t>
      </w:r>
      <w:r w:rsidR="00F53CD6" w:rsidRPr="0055056D">
        <w:rPr>
          <w:rStyle w:val="Rimandonotaapidipagina"/>
          <w:color w:val="000000" w:themeColor="text1"/>
        </w:rPr>
        <w:footnoteReference w:id="50"/>
      </w:r>
      <w:r w:rsidR="00EE13AE" w:rsidRPr="0055056D">
        <w:t>.</w:t>
      </w:r>
      <w:r w:rsidR="00127300" w:rsidRPr="0055056D">
        <w:t xml:space="preserve"> </w:t>
      </w:r>
      <w:r w:rsidR="005763AA" w:rsidRPr="0055056D">
        <w:t>Another law criminalis</w:t>
      </w:r>
      <w:r w:rsidR="00001C58" w:rsidRPr="0055056D">
        <w:t>ing</w:t>
      </w:r>
      <w:r w:rsidR="005763AA" w:rsidRPr="0055056D">
        <w:t xml:space="preserve"> </w:t>
      </w:r>
      <w:r w:rsidR="007C50EF" w:rsidRPr="0055056D">
        <w:t xml:space="preserve">assistance to </w:t>
      </w:r>
      <w:r w:rsidR="00D80721" w:rsidRPr="0055056D">
        <w:t>asylum seekers</w:t>
      </w:r>
      <w:r w:rsidR="002C1C47" w:rsidRPr="0055056D">
        <w:rPr>
          <w:rStyle w:val="Rimandonotaapidipagina"/>
          <w:color w:val="000000" w:themeColor="text1"/>
        </w:rPr>
        <w:footnoteReference w:id="51"/>
      </w:r>
      <w:r w:rsidR="00272FC0" w:rsidRPr="0055056D">
        <w:t xml:space="preserve"> was also subject to a CJEU court ruling</w:t>
      </w:r>
      <w:r w:rsidR="00536231" w:rsidRPr="0055056D">
        <w:rPr>
          <w:rStyle w:val="Rimandonotaapidipagina"/>
          <w:color w:val="000000" w:themeColor="text1"/>
        </w:rPr>
        <w:footnoteReference w:id="52"/>
      </w:r>
      <w:r w:rsidR="00A56B41" w:rsidRPr="0055056D">
        <w:t>,</w:t>
      </w:r>
      <w:r w:rsidR="009B7582" w:rsidRPr="0055056D">
        <w:t xml:space="preserve"> deciding that </w:t>
      </w:r>
      <w:r w:rsidR="009B2A7C" w:rsidRPr="0055056D">
        <w:t>Hungary breached Union law</w:t>
      </w:r>
      <w:r w:rsidR="006E7F35" w:rsidRPr="0055056D">
        <w:t xml:space="preserve">, </w:t>
      </w:r>
      <w:r w:rsidR="009B2A7C" w:rsidRPr="0055056D">
        <w:t xml:space="preserve">but the judgment </w:t>
      </w:r>
      <w:r w:rsidR="003115E5" w:rsidRPr="0055056D">
        <w:t xml:space="preserve">was not implemented by Hungary which </w:t>
      </w:r>
      <w:r w:rsidR="006013C9" w:rsidRPr="0055056D">
        <w:t>put</w:t>
      </w:r>
      <w:r w:rsidR="003115E5" w:rsidRPr="0055056D">
        <w:t>s further</w:t>
      </w:r>
      <w:r w:rsidR="006E7F35" w:rsidRPr="0055056D">
        <w:t xml:space="preserve"> pressure on CSOs </w:t>
      </w:r>
      <w:r w:rsidR="006013C9" w:rsidRPr="0055056D">
        <w:t>working in the field of asylum</w:t>
      </w:r>
      <w:r w:rsidR="001E40F4" w:rsidRPr="0055056D">
        <w:rPr>
          <w:rStyle w:val="Rimandonotaapidipagina"/>
          <w:color w:val="000000" w:themeColor="text1"/>
        </w:rPr>
        <w:footnoteReference w:id="53"/>
      </w:r>
      <w:r w:rsidR="006013C9" w:rsidRPr="0055056D">
        <w:t>.</w:t>
      </w:r>
      <w:r w:rsidR="004421AB" w:rsidRPr="0055056D">
        <w:t xml:space="preserve"> </w:t>
      </w:r>
    </w:p>
    <w:p w14:paraId="27244B52" w14:textId="1665574F" w:rsidR="00411082" w:rsidRPr="0055056D" w:rsidRDefault="00E2213C" w:rsidP="00E26DA8">
      <w:pPr>
        <w:pStyle w:val="MBT"/>
        <w:rPr>
          <w:color w:val="000000" w:themeColor="text1"/>
          <w:lang w:val="en-US"/>
        </w:rPr>
      </w:pPr>
      <w:r w:rsidRPr="0055056D">
        <w:rPr>
          <w:color w:val="000000" w:themeColor="text1"/>
        </w:rPr>
        <w:t xml:space="preserve">The government </w:t>
      </w:r>
      <w:r w:rsidR="001027F6" w:rsidRPr="0055056D">
        <w:rPr>
          <w:color w:val="000000" w:themeColor="text1"/>
        </w:rPr>
        <w:t xml:space="preserve">and the political </w:t>
      </w:r>
      <w:r w:rsidR="007C4464" w:rsidRPr="0055056D">
        <w:rPr>
          <w:color w:val="000000" w:themeColor="text1"/>
        </w:rPr>
        <w:t xml:space="preserve">majority </w:t>
      </w:r>
      <w:r w:rsidRPr="0055056D">
        <w:rPr>
          <w:color w:val="000000" w:themeColor="text1"/>
        </w:rPr>
        <w:t>ha</w:t>
      </w:r>
      <w:r w:rsidR="006C28A3" w:rsidRPr="0055056D">
        <w:rPr>
          <w:color w:val="000000" w:themeColor="text1"/>
        </w:rPr>
        <w:t>ve</w:t>
      </w:r>
      <w:r w:rsidRPr="0055056D">
        <w:rPr>
          <w:color w:val="000000" w:themeColor="text1"/>
        </w:rPr>
        <w:t xml:space="preserve"> a</w:t>
      </w:r>
      <w:r w:rsidR="00F9674C" w:rsidRPr="0055056D">
        <w:rPr>
          <w:color w:val="000000" w:themeColor="text1"/>
        </w:rPr>
        <w:t xml:space="preserve">lso taken </w:t>
      </w:r>
      <w:r w:rsidR="007C4464" w:rsidRPr="0055056D">
        <w:rPr>
          <w:color w:val="000000" w:themeColor="text1"/>
        </w:rPr>
        <w:t xml:space="preserve">a series of measures </w:t>
      </w:r>
      <w:r w:rsidR="00F9674C" w:rsidRPr="0055056D">
        <w:rPr>
          <w:color w:val="000000" w:themeColor="text1"/>
        </w:rPr>
        <w:t xml:space="preserve">to undermine </w:t>
      </w:r>
      <w:r w:rsidRPr="0055056D">
        <w:rPr>
          <w:b/>
          <w:bCs w:val="0"/>
          <w:color w:val="000000" w:themeColor="text1"/>
        </w:rPr>
        <w:t>media pluralism</w:t>
      </w:r>
      <w:r w:rsidR="003C010A" w:rsidRPr="0055056D">
        <w:rPr>
          <w:b/>
          <w:bCs w:val="0"/>
          <w:color w:val="000000" w:themeColor="text1"/>
        </w:rPr>
        <w:t xml:space="preserve"> </w:t>
      </w:r>
      <w:r w:rsidRPr="0055056D">
        <w:rPr>
          <w:b/>
          <w:bCs w:val="0"/>
          <w:color w:val="000000" w:themeColor="text1"/>
        </w:rPr>
        <w:t>and judicial independence</w:t>
      </w:r>
      <w:r w:rsidR="00F9674C" w:rsidRPr="0055056D">
        <w:rPr>
          <w:color w:val="000000" w:themeColor="text1"/>
        </w:rPr>
        <w:t xml:space="preserve"> (please see examples in the sections below)</w:t>
      </w:r>
      <w:r w:rsidR="0077090C" w:rsidRPr="0055056D">
        <w:rPr>
          <w:color w:val="000000" w:themeColor="text1"/>
        </w:rPr>
        <w:t>.</w:t>
      </w:r>
    </w:p>
    <w:p w14:paraId="45EA88FC" w14:textId="61947116" w:rsidR="0017068F" w:rsidRPr="0055056D" w:rsidRDefault="0017068F" w:rsidP="0017068F">
      <w:pPr>
        <w:pStyle w:val="MBT"/>
        <w:rPr>
          <w:lang w:val="en-IE" w:eastAsia="ar-SA"/>
        </w:rPr>
      </w:pPr>
      <w:r w:rsidRPr="0055056D">
        <w:rPr>
          <w:lang w:val="en-IE" w:eastAsia="ar-SA"/>
        </w:rPr>
        <w:t xml:space="preserve">Hungary used to have several </w:t>
      </w:r>
      <w:r w:rsidRPr="0055056D">
        <w:rPr>
          <w:b/>
          <w:bCs w:val="0"/>
          <w:lang w:val="en-IE" w:eastAsia="ar-SA"/>
        </w:rPr>
        <w:t>national human rights institutions</w:t>
      </w:r>
      <w:r w:rsidRPr="0055056D">
        <w:rPr>
          <w:lang w:val="en-IE" w:eastAsia="ar-SA"/>
        </w:rPr>
        <w:t xml:space="preserve">, but the human rights protection system got significantly centralised with the entry into force of the Fundamental Law in 2012. Former ombuds institutions were abolished, and </w:t>
      </w:r>
      <w:r w:rsidRPr="0055056D">
        <w:t xml:space="preserve">the Parliamentary Commissioner for National and Ethnic Minority Rights and the Parliamentary Commissioner for Future Generations became subordinated as deputies to </w:t>
      </w:r>
      <w:r w:rsidRPr="0055056D">
        <w:rPr>
          <w:lang w:val="en-IE" w:eastAsia="ar-SA"/>
        </w:rPr>
        <w:t xml:space="preserve">the </w:t>
      </w:r>
      <w:r w:rsidRPr="0055056D">
        <w:t xml:space="preserve">Parliamentary Commissioner for Citizens’ Rights, re-named to Commissioner for Fundamental Rights (hereinafter CFR). The mandate of the Commissioner for Data Protection was delegated to the newly created National Authority for Data Protection and Freedom of Information (hereinafter NAIH). Further centralisation took place in 2020, when the Equal Treatment Authority and the Independent Police Complaints Board were also integrated as departments into the Office of the Commissioner for Fundamental Rights. The Equal Treatment Authority, established in 2004 used to be an autonomous institution responsible for investigating violations of the prohibition of discrimination, while the Independent Police Complaints Board, created in 2008, used to be an organ of civil control over the Police. </w:t>
      </w:r>
    </w:p>
    <w:p w14:paraId="5195FE0B" w14:textId="77777777" w:rsidR="0017068F" w:rsidRPr="0055056D" w:rsidRDefault="0017068F" w:rsidP="0017068F">
      <w:pPr>
        <w:pStyle w:val="MBT"/>
      </w:pPr>
    </w:p>
    <w:p w14:paraId="023FC551" w14:textId="77777777" w:rsidR="0017068F" w:rsidRPr="0055056D" w:rsidRDefault="0017068F" w:rsidP="0017068F">
      <w:pPr>
        <w:pStyle w:val="MBT"/>
        <w:rPr>
          <w:b/>
          <w:bCs w:val="0"/>
        </w:rPr>
      </w:pPr>
      <w:r w:rsidRPr="0055056D">
        <w:rPr>
          <w:b/>
          <w:bCs w:val="0"/>
        </w:rPr>
        <w:lastRenderedPageBreak/>
        <w:t>The Commissioner for Fundamental Rights (CFR)</w:t>
      </w:r>
    </w:p>
    <w:p w14:paraId="29D13648" w14:textId="342EE7D9" w:rsidR="00EE25ED" w:rsidRPr="0055056D" w:rsidRDefault="00EE25ED" w:rsidP="00541296">
      <w:pPr>
        <w:pStyle w:val="MBT"/>
      </w:pPr>
      <w:r w:rsidRPr="0055056D">
        <w:t xml:space="preserve">Following the </w:t>
      </w:r>
      <w:r w:rsidR="009713D7" w:rsidRPr="0055056D">
        <w:t xml:space="preserve">merger of several </w:t>
      </w:r>
      <w:r w:rsidR="00496886" w:rsidRPr="0055056D">
        <w:t>bodies</w:t>
      </w:r>
      <w:r w:rsidR="00A442B5" w:rsidRPr="0055056D">
        <w:t xml:space="preserve"> </w:t>
      </w:r>
      <w:r w:rsidR="00DD570B" w:rsidRPr="0055056D">
        <w:t xml:space="preserve">responsible for the protection against threats to fundamental rights, </w:t>
      </w:r>
      <w:r w:rsidR="006D3012" w:rsidRPr="0055056D">
        <w:t>as described above, the CFR now acts as ombudsman</w:t>
      </w:r>
      <w:r w:rsidR="00CD0FB9" w:rsidRPr="0055056D">
        <w:t xml:space="preserve"> (through the office of the CFR</w:t>
      </w:r>
      <w:r w:rsidR="00953608" w:rsidRPr="0055056D">
        <w:t>,</w:t>
      </w:r>
      <w:r w:rsidR="00CD0FB9" w:rsidRPr="0055056D">
        <w:t xml:space="preserve"> and </w:t>
      </w:r>
      <w:r w:rsidR="00982B61" w:rsidRPr="0055056D">
        <w:t>the Deputy-Commissioner responsible for the protection of the interests of nationalities living in Hungary</w:t>
      </w:r>
      <w:r w:rsidR="006D3012" w:rsidRPr="0055056D">
        <w:t xml:space="preserve"> </w:t>
      </w:r>
      <w:r w:rsidR="00D63652" w:rsidRPr="0055056D">
        <w:t xml:space="preserve">and the </w:t>
      </w:r>
      <w:r w:rsidR="00FA3363" w:rsidRPr="0055056D">
        <w:t xml:space="preserve">Deputy-Commissioner </w:t>
      </w:r>
      <w:r w:rsidR="00CC0A1A" w:rsidRPr="0055056D">
        <w:t xml:space="preserve">responsible </w:t>
      </w:r>
      <w:r w:rsidR="00D63652" w:rsidRPr="0055056D">
        <w:t>protection of the interests of future generations)</w:t>
      </w:r>
      <w:r w:rsidR="006D3012" w:rsidRPr="0055056D">
        <w:t>, equality body</w:t>
      </w:r>
      <w:r w:rsidR="00726143" w:rsidRPr="0055056D">
        <w:t xml:space="preserve"> </w:t>
      </w:r>
      <w:r w:rsidR="00CD26E0" w:rsidRPr="0055056D">
        <w:t xml:space="preserve">(through its </w:t>
      </w:r>
      <w:r w:rsidR="005D6229" w:rsidRPr="0055056D">
        <w:t>Directorate-General for Equal Treatment)</w:t>
      </w:r>
      <w:r w:rsidR="00CD26E0" w:rsidRPr="0055056D">
        <w:t xml:space="preserve"> </w:t>
      </w:r>
      <w:r w:rsidR="00726143" w:rsidRPr="0055056D">
        <w:t>and</w:t>
      </w:r>
      <w:r w:rsidR="006711D4" w:rsidRPr="0055056D">
        <w:t xml:space="preserve"> </w:t>
      </w:r>
      <w:r w:rsidR="002D78F1" w:rsidRPr="0055056D">
        <w:t>oversight body of police conduct</w:t>
      </w:r>
      <w:r w:rsidR="006900CF" w:rsidRPr="0055056D">
        <w:t xml:space="preserve"> (though its General Directorate for Law Enforcement)</w:t>
      </w:r>
      <w:r w:rsidR="002D78F1" w:rsidRPr="0055056D">
        <w:t xml:space="preserve">. </w:t>
      </w:r>
      <w:r w:rsidR="00726143" w:rsidRPr="0055056D">
        <w:t>It also carries out the activities of the National Preventive Mechanism introduced by the Optional Protocol to the UN Convention against Torture and other Cruel, Inhuman or Degrading Treatment or Punishment.</w:t>
      </w:r>
    </w:p>
    <w:p w14:paraId="4A904AD6" w14:textId="2DA60214" w:rsidR="0086608E" w:rsidRPr="0055056D" w:rsidRDefault="0011588C" w:rsidP="00541296">
      <w:pPr>
        <w:pStyle w:val="MBT"/>
      </w:pPr>
      <w:r w:rsidRPr="0055056D">
        <w:t>With this overarching mandate and a</w:t>
      </w:r>
      <w:r w:rsidR="0017068F" w:rsidRPr="0055056D">
        <w:t xml:space="preserve">ccording to the Fundamental Law, the CFR </w:t>
      </w:r>
      <w:r w:rsidRPr="0055056D">
        <w:t xml:space="preserve">exercises several functions that </w:t>
      </w:r>
      <w:r w:rsidR="00AC0143" w:rsidRPr="0055056D">
        <w:t>c</w:t>
      </w:r>
      <w:r w:rsidR="003F3E92" w:rsidRPr="0055056D">
        <w:t xml:space="preserve">ould safeguard rule of law principles </w:t>
      </w:r>
      <w:r w:rsidR="00421A27" w:rsidRPr="0055056D">
        <w:t>on the national level</w:t>
      </w:r>
      <w:r w:rsidR="003F3E92" w:rsidRPr="0055056D">
        <w:t xml:space="preserve">. </w:t>
      </w:r>
      <w:r w:rsidR="00C05CFE" w:rsidRPr="0055056D">
        <w:t xml:space="preserve">Firstly, </w:t>
      </w:r>
      <w:r w:rsidR="00126985" w:rsidRPr="0055056D">
        <w:t>it</w:t>
      </w:r>
      <w:r w:rsidR="00C05CFE" w:rsidRPr="0055056D">
        <w:t xml:space="preserve"> hold</w:t>
      </w:r>
      <w:r w:rsidR="00126985" w:rsidRPr="0055056D">
        <w:t>s</w:t>
      </w:r>
      <w:r w:rsidR="00C05CFE" w:rsidRPr="0055056D">
        <w:t xml:space="preserve"> a broad obligation to</w:t>
      </w:r>
      <w:r w:rsidR="002C06BF" w:rsidRPr="0055056D">
        <w:t xml:space="preserve"> both</w:t>
      </w:r>
      <w:r w:rsidR="00C05CFE" w:rsidRPr="0055056D">
        <w:t xml:space="preserve"> </w:t>
      </w:r>
      <w:r w:rsidR="0017068F" w:rsidRPr="0055056D">
        <w:rPr>
          <w:b/>
        </w:rPr>
        <w:t>investigate any violations related to fundamental rights</w:t>
      </w:r>
      <w:r w:rsidR="0017068F" w:rsidRPr="0055056D">
        <w:t xml:space="preserve"> that come to </w:t>
      </w:r>
      <w:r w:rsidR="00733600" w:rsidRPr="0055056D">
        <w:t xml:space="preserve">its </w:t>
      </w:r>
      <w:r w:rsidR="0017068F" w:rsidRPr="0055056D">
        <w:t>knowledge,</w:t>
      </w:r>
      <w:r w:rsidR="00DC2592" w:rsidRPr="0055056D">
        <w:t xml:space="preserve"> </w:t>
      </w:r>
      <w:r w:rsidR="0017068F" w:rsidRPr="0055056D">
        <w:t xml:space="preserve">or </w:t>
      </w:r>
      <w:r w:rsidR="002C06BF" w:rsidRPr="0055056D">
        <w:t xml:space="preserve">to </w:t>
      </w:r>
      <w:r w:rsidR="00EA3DD2" w:rsidRPr="0055056D">
        <w:t xml:space="preserve">ensure that </w:t>
      </w:r>
      <w:r w:rsidR="0017068F" w:rsidRPr="0055056D">
        <w:t xml:space="preserve">such violations </w:t>
      </w:r>
      <w:r w:rsidR="00EA3DD2" w:rsidRPr="0055056D">
        <w:t>are i</w:t>
      </w:r>
      <w:r w:rsidR="0017068F" w:rsidRPr="0055056D">
        <w:t xml:space="preserve">nvestigated and must initiate </w:t>
      </w:r>
      <w:r w:rsidR="0017068F" w:rsidRPr="0055056D">
        <w:rPr>
          <w:b/>
        </w:rPr>
        <w:t>general or specific measures to remedy</w:t>
      </w:r>
      <w:r w:rsidR="0017068F" w:rsidRPr="0055056D">
        <w:t xml:space="preserve"> them. Detailed rules on the activities of the CFR are laid down in Act no. CXI of 2011</w:t>
      </w:r>
      <w:r w:rsidR="0017068F" w:rsidRPr="0055056D">
        <w:rPr>
          <w:rStyle w:val="Rimandonotaapidipagina"/>
        </w:rPr>
        <w:footnoteReference w:id="54"/>
      </w:r>
      <w:r w:rsidR="00865560" w:rsidRPr="0055056D">
        <w:t xml:space="preserve">, which </w:t>
      </w:r>
      <w:r w:rsidR="002C3806" w:rsidRPr="0055056D">
        <w:t>specifically</w:t>
      </w:r>
      <w:r w:rsidR="00865560" w:rsidRPr="0055056D">
        <w:t xml:space="preserve"> requires </w:t>
      </w:r>
      <w:r w:rsidR="00E445E3" w:rsidRPr="0055056D">
        <w:t xml:space="preserve">the CFR </w:t>
      </w:r>
      <w:r w:rsidR="0017068F" w:rsidRPr="0055056D" w:rsidDel="00E445E3">
        <w:t xml:space="preserve">to </w:t>
      </w:r>
      <w:r w:rsidR="0017068F" w:rsidRPr="0055056D">
        <w:t xml:space="preserve">conduct </w:t>
      </w:r>
      <w:r w:rsidR="0017068F" w:rsidRPr="0055056D">
        <w:rPr>
          <w:b/>
          <w:i/>
        </w:rPr>
        <w:t>ex officio</w:t>
      </w:r>
      <w:r w:rsidR="0017068F" w:rsidRPr="0055056D">
        <w:rPr>
          <w:b/>
        </w:rPr>
        <w:t xml:space="preserve"> proceedings</w:t>
      </w:r>
      <w:r w:rsidR="002C3806" w:rsidRPr="0055056D">
        <w:t xml:space="preserve"> for</w:t>
      </w:r>
      <w:r w:rsidR="0017068F" w:rsidRPr="0055056D">
        <w:t xml:space="preserve"> the protection of the rights of the child, the interests of future generations, the rights of national minorities living in Hungary, and the rights of the most vulnerable social groups</w:t>
      </w:r>
      <w:r w:rsidR="00FD1EAA" w:rsidRPr="0055056D">
        <w:rPr>
          <w:rStyle w:val="Rimandonotaapidipagina"/>
        </w:rPr>
        <w:footnoteReference w:id="55"/>
      </w:r>
      <w:r w:rsidR="0017068F" w:rsidRPr="0055056D">
        <w:t>.</w:t>
      </w:r>
      <w:r w:rsidR="00C858EF" w:rsidRPr="0055056D">
        <w:t xml:space="preserve"> </w:t>
      </w:r>
    </w:p>
    <w:p w14:paraId="6CB5FCEE" w14:textId="74F7179F" w:rsidR="00C858EF" w:rsidRPr="0055056D" w:rsidRDefault="00966035" w:rsidP="00541296">
      <w:pPr>
        <w:pStyle w:val="MBT"/>
      </w:pPr>
      <w:r w:rsidRPr="0055056D">
        <w:t>Procedures before the CFR may be initiated by anyone</w:t>
      </w:r>
      <w:r w:rsidR="00AE54E1" w:rsidRPr="0055056D">
        <w:t>.</w:t>
      </w:r>
      <w:r w:rsidRPr="0055056D">
        <w:t xml:space="preserve"> </w:t>
      </w:r>
      <w:r w:rsidR="00414E49" w:rsidRPr="0055056D">
        <w:t>A</w:t>
      </w:r>
      <w:r w:rsidR="007170ED" w:rsidRPr="0055056D">
        <w:t xml:space="preserve">n </w:t>
      </w:r>
      <w:r w:rsidR="007170ED" w:rsidRPr="0055056D">
        <w:rPr>
          <w:b/>
        </w:rPr>
        <w:t>individual</w:t>
      </w:r>
      <w:r w:rsidR="00414E49" w:rsidRPr="0055056D">
        <w:rPr>
          <w:b/>
        </w:rPr>
        <w:t xml:space="preserve"> complaint</w:t>
      </w:r>
      <w:r w:rsidR="00414E49" w:rsidRPr="0055056D">
        <w:t xml:space="preserve"> may be </w:t>
      </w:r>
      <w:r w:rsidR="001A083E" w:rsidRPr="0055056D">
        <w:t>sent</w:t>
      </w:r>
      <w:r w:rsidR="00414E49" w:rsidRPr="0055056D">
        <w:t xml:space="preserve"> to the CFR by email, post or in person.</w:t>
      </w:r>
      <w:r w:rsidR="00E46B0C" w:rsidRPr="0055056D">
        <w:t xml:space="preserve"> </w:t>
      </w:r>
      <w:r w:rsidR="00C858EF" w:rsidRPr="0055056D">
        <w:t xml:space="preserve">The CFR </w:t>
      </w:r>
      <w:r w:rsidR="001A083E" w:rsidRPr="0055056D">
        <w:t xml:space="preserve">also </w:t>
      </w:r>
      <w:r w:rsidR="00C858EF" w:rsidRPr="0055056D">
        <w:t>runs a</w:t>
      </w:r>
      <w:r w:rsidR="00974E59" w:rsidRPr="0055056D">
        <w:t>n</w:t>
      </w:r>
      <w:r w:rsidR="0067005E" w:rsidRPr="0055056D">
        <w:t xml:space="preserve"> electronic platform where </w:t>
      </w:r>
      <w:r w:rsidR="0054486A" w:rsidRPr="0055056D">
        <w:t>comp</w:t>
      </w:r>
      <w:r w:rsidR="003F2C8C" w:rsidRPr="0055056D">
        <w:t>l</w:t>
      </w:r>
      <w:r w:rsidR="0054486A" w:rsidRPr="0055056D">
        <w:t xml:space="preserve">aints or </w:t>
      </w:r>
      <w:r w:rsidR="0054486A" w:rsidRPr="0055056D">
        <w:rPr>
          <w:b/>
        </w:rPr>
        <w:t xml:space="preserve">public </w:t>
      </w:r>
      <w:r w:rsidR="008E292F" w:rsidRPr="0055056D">
        <w:rPr>
          <w:b/>
        </w:rPr>
        <w:t xml:space="preserve">interest </w:t>
      </w:r>
      <w:r w:rsidR="00606BA1" w:rsidRPr="0055056D">
        <w:rPr>
          <w:b/>
        </w:rPr>
        <w:t>disclosures</w:t>
      </w:r>
      <w:r w:rsidR="0054486A" w:rsidRPr="0055056D">
        <w:t xml:space="preserve"> can be submitted.</w:t>
      </w:r>
      <w:r w:rsidR="000222D4" w:rsidRPr="0055056D">
        <w:t xml:space="preserve"> Th</w:t>
      </w:r>
      <w:r w:rsidR="00C619A2" w:rsidRPr="0055056D">
        <w:t>e</w:t>
      </w:r>
      <w:r w:rsidR="000222D4" w:rsidRPr="0055056D">
        <w:t xml:space="preserve"> </w:t>
      </w:r>
      <w:r w:rsidR="007651A6" w:rsidRPr="0055056D">
        <w:t>latter</w:t>
      </w:r>
      <w:r w:rsidR="000222D4" w:rsidRPr="0055056D">
        <w:t xml:space="preserve"> </w:t>
      </w:r>
      <w:r w:rsidR="000B6664" w:rsidRPr="0055056D">
        <w:t xml:space="preserve">also </w:t>
      </w:r>
      <w:r w:rsidR="000222D4" w:rsidRPr="0055056D">
        <w:t>serves</w:t>
      </w:r>
      <w:r w:rsidR="006016E4" w:rsidRPr="0055056D">
        <w:t xml:space="preserve"> as</w:t>
      </w:r>
      <w:r w:rsidR="000222D4" w:rsidRPr="0055056D">
        <w:t xml:space="preserve"> </w:t>
      </w:r>
      <w:r w:rsidR="00AC6CC8" w:rsidRPr="0055056D">
        <w:t xml:space="preserve">a </w:t>
      </w:r>
      <w:r w:rsidR="001D239B" w:rsidRPr="0055056D">
        <w:rPr>
          <w:b/>
        </w:rPr>
        <w:t>reporting channel for whistle</w:t>
      </w:r>
      <w:r w:rsidR="006016E4" w:rsidRPr="0055056D">
        <w:rPr>
          <w:b/>
        </w:rPr>
        <w:t>-blowers</w:t>
      </w:r>
      <w:r w:rsidR="00C1052D" w:rsidRPr="0055056D">
        <w:t xml:space="preserve">. The latter includes an additional </w:t>
      </w:r>
      <w:r w:rsidR="00B05F5F" w:rsidRPr="0055056D">
        <w:t xml:space="preserve">guarantee providing for the anonymity </w:t>
      </w:r>
      <w:r w:rsidR="005C1283" w:rsidRPr="0055056D">
        <w:t xml:space="preserve">of the whistle-blowers who </w:t>
      </w:r>
      <w:r w:rsidR="00AD2369" w:rsidRPr="0055056D">
        <w:t xml:space="preserve">may request that their personal data </w:t>
      </w:r>
      <w:r w:rsidR="00466EDF" w:rsidRPr="0055056D">
        <w:t xml:space="preserve">to </w:t>
      </w:r>
      <w:r w:rsidR="00AD2369" w:rsidRPr="0055056D">
        <w:t xml:space="preserve">be accessible only to the </w:t>
      </w:r>
      <w:r w:rsidR="00A62EB4" w:rsidRPr="0055056D">
        <w:t>CFR</w:t>
      </w:r>
      <w:r w:rsidR="0011169E" w:rsidRPr="0055056D">
        <w:rPr>
          <w:rStyle w:val="Rimandonotaapidipagina"/>
        </w:rPr>
        <w:t xml:space="preserve"> </w:t>
      </w:r>
      <w:r w:rsidR="0011169E" w:rsidRPr="0055056D">
        <w:rPr>
          <w:rStyle w:val="Rimandonotaapidipagina"/>
        </w:rPr>
        <w:footnoteReference w:id="56"/>
      </w:r>
      <w:r w:rsidR="00AD2369" w:rsidRPr="0055056D">
        <w:t>.</w:t>
      </w:r>
      <w:r w:rsidR="001B01BC" w:rsidRPr="0055056D">
        <w:t xml:space="preserve"> However, according to the </w:t>
      </w:r>
      <w:r w:rsidR="00CD6B91" w:rsidRPr="0055056D">
        <w:t>2022 Commission Rule of Law Report,</w:t>
      </w:r>
      <w:r w:rsidR="00C5218F" w:rsidRPr="0055056D">
        <w:t xml:space="preserve"> the CFR has</w:t>
      </w:r>
      <w:r w:rsidR="00CD6B91" w:rsidRPr="0055056D">
        <w:t xml:space="preserve"> </w:t>
      </w:r>
      <w:r w:rsidR="002C06BF" w:rsidRPr="0055056D">
        <w:t>“</w:t>
      </w:r>
      <w:r w:rsidR="00C5218F" w:rsidRPr="0055056D">
        <w:t xml:space="preserve">limited formal competence as regards </w:t>
      </w:r>
      <w:proofErr w:type="spellStart"/>
      <w:r w:rsidR="00C5218F" w:rsidRPr="0055056D">
        <w:t>whistleblower</w:t>
      </w:r>
      <w:proofErr w:type="spellEnd"/>
      <w:r w:rsidR="00C5218F" w:rsidRPr="0055056D">
        <w:t xml:space="preserve"> complaints, including the forwarding of reports to competent authorities</w:t>
      </w:r>
      <w:r w:rsidR="00CE05BE" w:rsidRPr="0055056D">
        <w:t>”</w:t>
      </w:r>
      <w:r w:rsidR="00D83FF7" w:rsidRPr="0055056D">
        <w:rPr>
          <w:rStyle w:val="Rimandonotaapidipagina"/>
        </w:rPr>
        <w:footnoteReference w:id="57"/>
      </w:r>
      <w:r w:rsidR="005360E8" w:rsidRPr="0055056D">
        <w:t xml:space="preserve">; thus, the protection of whistle-blowers </w:t>
      </w:r>
      <w:r w:rsidR="00B0720A" w:rsidRPr="0055056D">
        <w:t>is not effectively ensured</w:t>
      </w:r>
      <w:r w:rsidR="00CE05BE" w:rsidRPr="0055056D">
        <w:t>.</w:t>
      </w:r>
    </w:p>
    <w:p w14:paraId="7FD087BB" w14:textId="598E34F7" w:rsidR="00967114" w:rsidRPr="0055056D" w:rsidRDefault="00011E68" w:rsidP="00967114">
      <w:pPr>
        <w:pStyle w:val="MBT"/>
      </w:pPr>
      <w:r w:rsidRPr="0055056D">
        <w:t xml:space="preserve">Since 2015, the CFR may also inquire into ordering and conducting a </w:t>
      </w:r>
      <w:r w:rsidRPr="0055056D">
        <w:rPr>
          <w:b/>
        </w:rPr>
        <w:t>review of national security checks</w:t>
      </w:r>
      <w:r w:rsidRPr="0055056D">
        <w:t xml:space="preserve"> </w:t>
      </w:r>
      <w:r w:rsidR="008045EC" w:rsidRPr="0055056D">
        <w:t xml:space="preserve">to determine whether there is </w:t>
      </w:r>
      <w:r w:rsidR="00F450C9" w:rsidRPr="0055056D">
        <w:t xml:space="preserve">an irregularity related to </w:t>
      </w:r>
      <w:r w:rsidR="008045EC" w:rsidRPr="0055056D">
        <w:t>fundamental rights</w:t>
      </w:r>
      <w:r w:rsidR="00847B25" w:rsidRPr="0055056D">
        <w:rPr>
          <w:rStyle w:val="Rimandonotaapidipagina"/>
        </w:rPr>
        <w:footnoteReference w:id="58"/>
      </w:r>
      <w:r w:rsidR="008045EC" w:rsidRPr="0055056D">
        <w:t>, as provided for in the Act on National Security Services</w:t>
      </w:r>
      <w:r w:rsidR="00847B25" w:rsidRPr="0055056D">
        <w:rPr>
          <w:rStyle w:val="Rimandonotaapidipagina"/>
        </w:rPr>
        <w:footnoteReference w:id="59"/>
      </w:r>
      <w:r w:rsidRPr="0055056D">
        <w:t>.</w:t>
      </w:r>
      <w:r w:rsidR="00325439" w:rsidRPr="0055056D">
        <w:t xml:space="preserve"> </w:t>
      </w:r>
      <w:r w:rsidR="005B5324" w:rsidRPr="0055056D">
        <w:t>However, the CFR’s investigation cannot cover cer</w:t>
      </w:r>
      <w:r w:rsidR="00214166" w:rsidRPr="0055056D">
        <w:t>tain</w:t>
      </w:r>
      <w:r w:rsidR="005B5324" w:rsidRPr="0055056D">
        <w:t xml:space="preserve"> information </w:t>
      </w:r>
      <w:r w:rsidR="00F81565" w:rsidRPr="0055056D">
        <w:t>related to national security services</w:t>
      </w:r>
      <w:r w:rsidR="00047097" w:rsidRPr="0055056D">
        <w:t xml:space="preserve"> </w:t>
      </w:r>
      <w:proofErr w:type="gramStart"/>
      <w:r w:rsidR="00047097" w:rsidRPr="0055056D">
        <w:t>in light of</w:t>
      </w:r>
      <w:proofErr w:type="gramEnd"/>
      <w:r w:rsidR="00325439" w:rsidRPr="0055056D" w:rsidDel="00B15324">
        <w:t xml:space="preserve"> </w:t>
      </w:r>
      <w:r w:rsidR="00325439" w:rsidRPr="0055056D">
        <w:t>Article 23 of the Act on the Commissioner for Fundamental Rights</w:t>
      </w:r>
      <w:r w:rsidR="00047097" w:rsidRPr="0055056D">
        <w:t>, which</w:t>
      </w:r>
      <w:r w:rsidR="00967114" w:rsidRPr="0055056D" w:rsidDel="00B15324">
        <w:t xml:space="preserve"> </w:t>
      </w:r>
      <w:r w:rsidR="00967114" w:rsidRPr="0055056D">
        <w:t>lists 39 sets of cases</w:t>
      </w:r>
      <w:r w:rsidR="00D23272" w:rsidRPr="0055056D">
        <w:t xml:space="preserve"> in relation to which the CFR cannot access</w:t>
      </w:r>
      <w:r w:rsidR="00967114" w:rsidRPr="0055056D" w:rsidDel="00705752">
        <w:t xml:space="preserve"> </w:t>
      </w:r>
      <w:r w:rsidR="00967114" w:rsidRPr="0055056D">
        <w:t xml:space="preserve">sensitive or classified information regarding the operation of </w:t>
      </w:r>
      <w:r w:rsidR="00180BD8" w:rsidRPr="0055056D">
        <w:t>certain state bodies</w:t>
      </w:r>
      <w:r w:rsidR="00825D15" w:rsidRPr="0055056D">
        <w:t xml:space="preserve">. Thus, in addition to the security services, the CFR cannot access certain information </w:t>
      </w:r>
      <w:r w:rsidR="008763C9" w:rsidRPr="0055056D">
        <w:t xml:space="preserve">in relation to </w:t>
      </w:r>
      <w:r w:rsidR="00967114" w:rsidRPr="0055056D">
        <w:t>the armed forces, police forces, the tax and customs authority,</w:t>
      </w:r>
      <w:r w:rsidR="00576EC9" w:rsidRPr="0055056D">
        <w:t xml:space="preserve"> </w:t>
      </w:r>
      <w:r w:rsidR="00967114" w:rsidRPr="0055056D">
        <w:t xml:space="preserve">prosecution services, and of the National </w:t>
      </w:r>
      <w:r w:rsidR="00967114" w:rsidRPr="0055056D">
        <w:rPr>
          <w:lang w:bidi="en-US"/>
        </w:rPr>
        <w:t>Security Inspectorate.</w:t>
      </w:r>
      <w:r w:rsidR="00967114" w:rsidRPr="0055056D">
        <w:t xml:space="preserve"> </w:t>
      </w:r>
      <w:r w:rsidR="00967114" w:rsidRPr="0055056D">
        <w:rPr>
          <w:lang w:bidi="en-US"/>
        </w:rPr>
        <w:t xml:space="preserve">In </w:t>
      </w:r>
      <w:proofErr w:type="gramStart"/>
      <w:r w:rsidR="00967114" w:rsidRPr="0055056D">
        <w:rPr>
          <w:lang w:bidi="en-US"/>
        </w:rPr>
        <w:t>all of</w:t>
      </w:r>
      <w:proofErr w:type="gramEnd"/>
      <w:r w:rsidR="00967114" w:rsidRPr="0055056D">
        <w:rPr>
          <w:lang w:bidi="en-US"/>
        </w:rPr>
        <w:t xml:space="preserve"> these cases, the </w:t>
      </w:r>
      <w:r w:rsidR="00C4350C" w:rsidRPr="0055056D">
        <w:rPr>
          <w:lang w:bidi="en-US"/>
        </w:rPr>
        <w:t>CFR</w:t>
      </w:r>
      <w:r w:rsidR="00967114" w:rsidRPr="0055056D">
        <w:rPr>
          <w:lang w:bidi="en-US"/>
        </w:rPr>
        <w:t xml:space="preserve"> can turn to </w:t>
      </w:r>
      <w:r w:rsidR="00967114" w:rsidRPr="0055056D">
        <w:t xml:space="preserve">the </w:t>
      </w:r>
      <w:r w:rsidR="002C06BF" w:rsidRPr="0055056D">
        <w:t>M</w:t>
      </w:r>
      <w:r w:rsidR="00967114" w:rsidRPr="0055056D">
        <w:t xml:space="preserve">inister in charge </w:t>
      </w:r>
      <w:r w:rsidR="00817A94" w:rsidRPr="0055056D">
        <w:t xml:space="preserve">to </w:t>
      </w:r>
      <w:r w:rsidR="008D2B06" w:rsidRPr="0055056D">
        <w:t xml:space="preserve">carry out </w:t>
      </w:r>
      <w:r w:rsidR="00F30F68" w:rsidRPr="0055056D">
        <w:t xml:space="preserve">the inquiry </w:t>
      </w:r>
      <w:r w:rsidR="009F60EA" w:rsidRPr="0055056D">
        <w:t>and to</w:t>
      </w:r>
      <w:r w:rsidR="00967114" w:rsidRPr="0055056D">
        <w:t xml:space="preserve"> inform the </w:t>
      </w:r>
      <w:r w:rsidR="002D45EE" w:rsidRPr="0055056D">
        <w:t xml:space="preserve">CFR </w:t>
      </w:r>
      <w:r w:rsidR="00967114" w:rsidRPr="0055056D">
        <w:t>about the results</w:t>
      </w:r>
      <w:r w:rsidR="00967114" w:rsidRPr="0055056D">
        <w:rPr>
          <w:vertAlign w:val="superscript"/>
        </w:rPr>
        <w:footnoteReference w:id="60"/>
      </w:r>
      <w:r w:rsidR="004E7F46" w:rsidRPr="0055056D">
        <w:t>.</w:t>
      </w:r>
      <w:r w:rsidR="001E2923" w:rsidRPr="0055056D">
        <w:t xml:space="preserve"> This limits the ability of CFR to access information</w:t>
      </w:r>
      <w:r w:rsidR="00B41889" w:rsidRPr="0055056D">
        <w:t xml:space="preserve"> for </w:t>
      </w:r>
      <w:r w:rsidR="00DA0249" w:rsidRPr="0055056D">
        <w:t xml:space="preserve">its </w:t>
      </w:r>
      <w:r w:rsidR="00B41889" w:rsidRPr="0055056D">
        <w:t>investigations</w:t>
      </w:r>
      <w:r w:rsidR="007F0466" w:rsidRPr="0055056D">
        <w:t xml:space="preserve"> and to carry out it</w:t>
      </w:r>
      <w:r w:rsidR="007E61E6" w:rsidRPr="0055056D">
        <w:t xml:space="preserve">s fundamental rights mandate in an independent manner, especially so in </w:t>
      </w:r>
      <w:r w:rsidR="00641701" w:rsidRPr="0055056D">
        <w:t xml:space="preserve">controversial </w:t>
      </w:r>
      <w:r w:rsidR="007E61E6" w:rsidRPr="0055056D">
        <w:t>cases</w:t>
      </w:r>
      <w:r w:rsidR="00641701" w:rsidRPr="0055056D">
        <w:t xml:space="preserve"> that often involve the </w:t>
      </w:r>
      <w:r w:rsidR="00D1682E" w:rsidRPr="0055056D">
        <w:t>above</w:t>
      </w:r>
      <w:r w:rsidR="00E36170" w:rsidRPr="0055056D">
        <w:t>-</w:t>
      </w:r>
      <w:r w:rsidR="00D1682E" w:rsidRPr="0055056D">
        <w:t xml:space="preserve">listed </w:t>
      </w:r>
      <w:r w:rsidR="0085569D" w:rsidRPr="0055056D">
        <w:t>agencies with investigative and prosecutorial functions</w:t>
      </w:r>
      <w:r w:rsidR="00B41889" w:rsidRPr="0055056D" w:rsidDel="007F0466">
        <w:t>.</w:t>
      </w:r>
    </w:p>
    <w:p w14:paraId="1BC46996" w14:textId="3F92C59E" w:rsidR="000E5828" w:rsidRPr="0055056D" w:rsidRDefault="007D08C9" w:rsidP="00541296">
      <w:pPr>
        <w:pStyle w:val="MBT"/>
      </w:pPr>
      <w:r w:rsidRPr="0055056D">
        <w:t>In addition, t</w:t>
      </w:r>
      <w:r w:rsidR="00370F59" w:rsidRPr="0055056D">
        <w:t xml:space="preserve">he CFR can give </w:t>
      </w:r>
      <w:r w:rsidR="008C07C8" w:rsidRPr="0055056D">
        <w:t>its</w:t>
      </w:r>
      <w:r w:rsidR="00370F59" w:rsidRPr="0055056D">
        <w:t xml:space="preserve"> opinion on </w:t>
      </w:r>
      <w:r w:rsidR="00571933" w:rsidRPr="0055056D">
        <w:t xml:space="preserve">draft </w:t>
      </w:r>
      <w:r w:rsidR="00370F59" w:rsidRPr="0055056D">
        <w:t>legislat</w:t>
      </w:r>
      <w:r w:rsidR="00571933" w:rsidRPr="0055056D">
        <w:t xml:space="preserve">ion falling under </w:t>
      </w:r>
      <w:r w:rsidR="00CC0D52" w:rsidRPr="0055056D">
        <w:t xml:space="preserve">its </w:t>
      </w:r>
      <w:r w:rsidR="00D92A7C" w:rsidRPr="0055056D">
        <w:t>competence</w:t>
      </w:r>
      <w:r w:rsidR="00313CE4" w:rsidRPr="0055056D">
        <w:t xml:space="preserve">, </w:t>
      </w:r>
      <w:r w:rsidR="00370F59" w:rsidRPr="0055056D">
        <w:t>and to propose the amendment or the adoption of legislative acts</w:t>
      </w:r>
      <w:r w:rsidR="00756E89" w:rsidRPr="0055056D">
        <w:t xml:space="preserve"> affecting fundamental rights, or the </w:t>
      </w:r>
      <w:r w:rsidR="00756E89" w:rsidRPr="0055056D">
        <w:lastRenderedPageBreak/>
        <w:t>recognition of the binding force of an international treaty</w:t>
      </w:r>
      <w:r w:rsidR="00E07129" w:rsidRPr="0055056D">
        <w:rPr>
          <w:rStyle w:val="Rimandonotaapidipagina"/>
        </w:rPr>
        <w:footnoteReference w:id="61"/>
      </w:r>
      <w:r w:rsidR="00370F59" w:rsidRPr="0055056D">
        <w:t>.</w:t>
      </w:r>
      <w:r w:rsidR="00DE112E" w:rsidRPr="0055056D">
        <w:t xml:space="preserve"> The CFR may also </w:t>
      </w:r>
      <w:r w:rsidR="00DE112E" w:rsidRPr="0055056D">
        <w:rPr>
          <w:b/>
        </w:rPr>
        <w:t xml:space="preserve">initiate </w:t>
      </w:r>
      <w:r w:rsidR="00E56C0B" w:rsidRPr="0055056D">
        <w:rPr>
          <w:b/>
        </w:rPr>
        <w:t>at the Cons</w:t>
      </w:r>
      <w:r w:rsidR="00BC75E8" w:rsidRPr="0055056D">
        <w:rPr>
          <w:b/>
        </w:rPr>
        <w:t>titutional Court</w:t>
      </w:r>
      <w:r w:rsidR="0047604C" w:rsidRPr="0055056D">
        <w:rPr>
          <w:b/>
        </w:rPr>
        <w:t xml:space="preserve"> the </w:t>
      </w:r>
      <w:r w:rsidR="00601372" w:rsidRPr="0055056D">
        <w:rPr>
          <w:b/>
        </w:rPr>
        <w:t>constitutionality</w:t>
      </w:r>
      <w:r w:rsidR="00D91AEF" w:rsidRPr="0055056D">
        <w:rPr>
          <w:b/>
        </w:rPr>
        <w:t xml:space="preserve"> </w:t>
      </w:r>
      <w:r w:rsidR="0047604C" w:rsidRPr="0055056D">
        <w:rPr>
          <w:b/>
        </w:rPr>
        <w:t xml:space="preserve">review </w:t>
      </w:r>
      <w:r w:rsidR="00657089" w:rsidRPr="0055056D">
        <w:rPr>
          <w:b/>
        </w:rPr>
        <w:t xml:space="preserve">of </w:t>
      </w:r>
      <w:r w:rsidR="00E5343A" w:rsidRPr="0055056D">
        <w:rPr>
          <w:b/>
        </w:rPr>
        <w:t>legislation</w:t>
      </w:r>
      <w:r w:rsidR="00E5343A" w:rsidRPr="0055056D">
        <w:t xml:space="preserve"> </w:t>
      </w:r>
      <w:r w:rsidR="001C731F" w:rsidRPr="0055056D">
        <w:t xml:space="preserve">as well as the interpretation </w:t>
      </w:r>
      <w:r w:rsidR="000B2DEA" w:rsidRPr="0055056D">
        <w:t xml:space="preserve">of </w:t>
      </w:r>
      <w:r w:rsidR="003E477B" w:rsidRPr="0055056D">
        <w:t>constitutional</w:t>
      </w:r>
      <w:r w:rsidR="000B2DEA" w:rsidRPr="0055056D">
        <w:t xml:space="preserve"> provisi</w:t>
      </w:r>
      <w:r w:rsidR="008C62BC" w:rsidRPr="0055056D">
        <w:t>ons</w:t>
      </w:r>
      <w:r w:rsidR="009E58D7" w:rsidRPr="0055056D">
        <w:rPr>
          <w:rStyle w:val="Rimandonotaapidipagina"/>
        </w:rPr>
        <w:footnoteReference w:id="62"/>
      </w:r>
      <w:r w:rsidR="00E5343A" w:rsidRPr="0055056D">
        <w:t>.</w:t>
      </w:r>
      <w:r w:rsidR="0047604C" w:rsidRPr="0055056D">
        <w:t xml:space="preserve"> </w:t>
      </w:r>
    </w:p>
    <w:p w14:paraId="44D106C7" w14:textId="4BE35B18" w:rsidR="003714E4" w:rsidRPr="0055056D" w:rsidRDefault="006B0DA2" w:rsidP="00541296">
      <w:pPr>
        <w:pStyle w:val="MBT"/>
      </w:pPr>
      <w:r w:rsidRPr="0055056D">
        <w:rPr>
          <w:b/>
        </w:rPr>
        <w:t>This multiplicity of comp</w:t>
      </w:r>
      <w:r w:rsidR="00747F07" w:rsidRPr="0055056D">
        <w:rPr>
          <w:b/>
        </w:rPr>
        <w:t>et</w:t>
      </w:r>
      <w:r w:rsidR="00066AC5" w:rsidRPr="0055056D">
        <w:rPr>
          <w:b/>
        </w:rPr>
        <w:t>e</w:t>
      </w:r>
      <w:r w:rsidRPr="0055056D">
        <w:rPr>
          <w:b/>
        </w:rPr>
        <w:t>n</w:t>
      </w:r>
      <w:r w:rsidR="00BF6FEB" w:rsidRPr="0055056D">
        <w:rPr>
          <w:b/>
        </w:rPr>
        <w:t>cies</w:t>
      </w:r>
      <w:r w:rsidRPr="0055056D">
        <w:rPr>
          <w:b/>
        </w:rPr>
        <w:t xml:space="preserve"> and powers </w:t>
      </w:r>
      <w:r w:rsidR="001306D3" w:rsidRPr="0055056D">
        <w:rPr>
          <w:b/>
        </w:rPr>
        <w:t>a</w:t>
      </w:r>
      <w:r w:rsidR="00231F24" w:rsidRPr="0055056D">
        <w:rPr>
          <w:b/>
        </w:rPr>
        <w:t xml:space="preserve">llocated to the CFR </w:t>
      </w:r>
      <w:r w:rsidR="00DF2948" w:rsidRPr="0055056D">
        <w:rPr>
          <w:b/>
        </w:rPr>
        <w:t xml:space="preserve">and the </w:t>
      </w:r>
      <w:r w:rsidR="00E91672" w:rsidRPr="0055056D">
        <w:rPr>
          <w:b/>
        </w:rPr>
        <w:t xml:space="preserve">procedures </w:t>
      </w:r>
      <w:r w:rsidR="00690335" w:rsidRPr="0055056D">
        <w:rPr>
          <w:b/>
        </w:rPr>
        <w:t>attached to the</w:t>
      </w:r>
      <w:r w:rsidR="00EE3CF9" w:rsidRPr="0055056D">
        <w:rPr>
          <w:b/>
        </w:rPr>
        <w:t>se</w:t>
      </w:r>
      <w:r w:rsidR="00690335" w:rsidRPr="0055056D">
        <w:rPr>
          <w:b/>
        </w:rPr>
        <w:t xml:space="preserve"> </w:t>
      </w:r>
      <w:r w:rsidR="007D57D8" w:rsidRPr="0055056D">
        <w:rPr>
          <w:b/>
        </w:rPr>
        <w:t>could serve as tool</w:t>
      </w:r>
      <w:r w:rsidR="00817783" w:rsidRPr="0055056D">
        <w:rPr>
          <w:b/>
        </w:rPr>
        <w:t>s</w:t>
      </w:r>
      <w:r w:rsidR="007D57D8" w:rsidRPr="0055056D">
        <w:rPr>
          <w:b/>
        </w:rPr>
        <w:t xml:space="preserve"> for safeguarding the rule of law</w:t>
      </w:r>
      <w:r w:rsidR="007D57D8" w:rsidRPr="0055056D">
        <w:t xml:space="preserve"> </w:t>
      </w:r>
      <w:r w:rsidR="0083114B" w:rsidRPr="0055056D">
        <w:t xml:space="preserve">against </w:t>
      </w:r>
      <w:r w:rsidR="00B24CA7" w:rsidRPr="0055056D">
        <w:t xml:space="preserve">dissensus </w:t>
      </w:r>
      <w:r w:rsidR="0083114B" w:rsidRPr="0055056D">
        <w:t>threat</w:t>
      </w:r>
      <w:r w:rsidR="006E0E17" w:rsidRPr="0055056D">
        <w:t xml:space="preserve">ening </w:t>
      </w:r>
      <w:r w:rsidR="00792C9D" w:rsidRPr="0055056D">
        <w:t>fundamental rights.</w:t>
      </w:r>
      <w:r w:rsidR="00A03838" w:rsidRPr="0055056D">
        <w:t xml:space="preserve"> </w:t>
      </w:r>
      <w:r w:rsidR="002F23C3" w:rsidRPr="0055056D">
        <w:t xml:space="preserve">However, </w:t>
      </w:r>
      <w:r w:rsidR="00C80013" w:rsidRPr="0055056D">
        <w:t xml:space="preserve">in practice </w:t>
      </w:r>
      <w:r w:rsidR="002E7AE1" w:rsidRPr="0055056D">
        <w:t>several national and international stakeholders raised concerns about</w:t>
      </w:r>
      <w:r w:rsidR="002F23C3" w:rsidRPr="0055056D">
        <w:t xml:space="preserve"> </w:t>
      </w:r>
      <w:r w:rsidR="00D31855" w:rsidRPr="0055056D">
        <w:t xml:space="preserve">the independence of the CFR and </w:t>
      </w:r>
      <w:r w:rsidR="00F52A6E" w:rsidRPr="0055056D">
        <w:t>its</w:t>
      </w:r>
      <w:r w:rsidR="002B6613" w:rsidRPr="0055056D">
        <w:t xml:space="preserve"> ability to fulfil </w:t>
      </w:r>
      <w:r w:rsidR="001059FA" w:rsidRPr="0055056D">
        <w:t>the Office’s</w:t>
      </w:r>
      <w:r w:rsidR="002B6613" w:rsidRPr="0055056D">
        <w:t xml:space="preserve"> mandate to effectively promote and protect all human rights</w:t>
      </w:r>
      <w:r w:rsidR="00B33FC9" w:rsidRPr="0055056D">
        <w:t>.</w:t>
      </w:r>
    </w:p>
    <w:p w14:paraId="5ED458A4" w14:textId="77777777" w:rsidR="00E90D52" w:rsidRPr="0055056D" w:rsidRDefault="007179D4" w:rsidP="00541296">
      <w:pPr>
        <w:pStyle w:val="MBT"/>
      </w:pPr>
      <w:r w:rsidRPr="0055056D">
        <w:t>Among others, the</w:t>
      </w:r>
      <w:r w:rsidR="000D53A7" w:rsidRPr="0055056D">
        <w:t xml:space="preserve"> </w:t>
      </w:r>
      <w:r w:rsidR="000D53A7" w:rsidRPr="0055056D">
        <w:rPr>
          <w:b/>
        </w:rPr>
        <w:t>Global Alliance of National Human Rights Institutions</w:t>
      </w:r>
      <w:r w:rsidR="000D53A7" w:rsidRPr="0055056D">
        <w:t xml:space="preserve"> (GANHRI) responsible for reviewing and accrediting National Human Rights Institutions (NHRIs) in compliance with the Paris Principles</w:t>
      </w:r>
      <w:r w:rsidR="000D53A7" w:rsidRPr="0055056D">
        <w:rPr>
          <w:vertAlign w:val="superscript"/>
        </w:rPr>
        <w:footnoteReference w:id="63"/>
      </w:r>
      <w:r w:rsidR="000D53A7" w:rsidRPr="0055056D">
        <w:t xml:space="preserve"> have for the past three years consistently raised concerns over the </w:t>
      </w:r>
      <w:r w:rsidR="00BE10A2" w:rsidRPr="0055056D">
        <w:rPr>
          <w:b/>
        </w:rPr>
        <w:t>CFR’s</w:t>
      </w:r>
      <w:r w:rsidR="000D53A7" w:rsidRPr="0055056D">
        <w:rPr>
          <w:b/>
        </w:rPr>
        <w:t xml:space="preserve"> compliance with the minimum standards that NHRIs must meet </w:t>
      </w:r>
      <w:proofErr w:type="gramStart"/>
      <w:r w:rsidR="000D53A7" w:rsidRPr="0055056D">
        <w:rPr>
          <w:b/>
        </w:rPr>
        <w:t>in order to</w:t>
      </w:r>
      <w:proofErr w:type="gramEnd"/>
      <w:r w:rsidR="000D53A7" w:rsidRPr="0055056D">
        <w:rPr>
          <w:b/>
        </w:rPr>
        <w:t xml:space="preserve"> be considered credible and to operate effectively.</w:t>
      </w:r>
      <w:r w:rsidR="00F24EE4" w:rsidRPr="0055056D">
        <w:rPr>
          <w:lang w:val="hu-HU"/>
        </w:rPr>
        <w:t xml:space="preserve"> </w:t>
      </w:r>
      <w:r w:rsidR="0085513A" w:rsidRPr="0055056D">
        <w:t xml:space="preserve">As </w:t>
      </w:r>
      <w:r w:rsidR="00E00ACB" w:rsidRPr="0055056D">
        <w:t>highlighted</w:t>
      </w:r>
      <w:r w:rsidR="0085513A" w:rsidRPr="0055056D">
        <w:t xml:space="preserve"> by the Venice Commission in its </w:t>
      </w:r>
      <w:r w:rsidR="00C27DCD" w:rsidRPr="0055056D">
        <w:t xml:space="preserve">2021 </w:t>
      </w:r>
      <w:r w:rsidR="0085513A" w:rsidRPr="0055056D">
        <w:t xml:space="preserve">official Opinion on </w:t>
      </w:r>
      <w:r w:rsidR="00C27DCD" w:rsidRPr="0055056D">
        <w:t>certain legal amendments in Hungary</w:t>
      </w:r>
      <w:r w:rsidR="0085513A" w:rsidRPr="0055056D">
        <w:rPr>
          <w:rStyle w:val="Rimandonotaapidipagina"/>
        </w:rPr>
        <w:footnoteReference w:id="64"/>
      </w:r>
      <w:r w:rsidR="0085513A" w:rsidRPr="0055056D">
        <w:t xml:space="preserve">, the GANHRI’s Sub-Committee on Accreditation (SCA), in its </w:t>
      </w:r>
      <w:r w:rsidR="0085513A" w:rsidRPr="0055056D">
        <w:rPr>
          <w:b/>
        </w:rPr>
        <w:t>2019</w:t>
      </w:r>
      <w:r w:rsidR="0085513A" w:rsidRPr="0055056D">
        <w:t xml:space="preserve"> Report concluded that</w:t>
      </w:r>
      <w:r w:rsidR="004F41EC" w:rsidRPr="0055056D">
        <w:t xml:space="preserve"> </w:t>
      </w:r>
      <w:r w:rsidR="000A49AE" w:rsidRPr="0055056D">
        <w:rPr>
          <w:i/>
          <w:iCs/>
        </w:rPr>
        <w:t>“</w:t>
      </w:r>
      <w:r w:rsidR="0085513A" w:rsidRPr="0055056D">
        <w:rPr>
          <w:i/>
          <w:iCs/>
        </w:rPr>
        <w:t xml:space="preserve">the CFR did ‘not demonstrate adequate efforts in addressing all human rights issues, nor has it spoken out in a manner that promotes and protects all human rights’. The SCA further noted that the Commissioner made limited use of international and regional human rights mechanisms in relation to sensitive issues. The SCA referred, inter alia, to concerns expressed by the Special Rapporteur </w:t>
      </w:r>
      <w:proofErr w:type="gramStart"/>
      <w:r w:rsidR="0085513A" w:rsidRPr="0055056D">
        <w:rPr>
          <w:i/>
          <w:iCs/>
        </w:rPr>
        <w:t>on the situation of</w:t>
      </w:r>
      <w:proofErr w:type="gramEnd"/>
      <w:r w:rsidR="0085513A" w:rsidRPr="0055056D">
        <w:rPr>
          <w:i/>
          <w:iCs/>
        </w:rPr>
        <w:t xml:space="preserve"> human rights defenders in 2017 that, despite its mandate, the CFR has been reluctant to refer complaints to the Constitutional Court for review in cases that it deems political or institutional”.</w:t>
      </w:r>
      <w:r w:rsidR="0085513A" w:rsidRPr="0055056D">
        <w:rPr>
          <w:i/>
          <w:iCs/>
          <w:vertAlign w:val="superscript"/>
        </w:rPr>
        <w:footnoteReference w:id="65"/>
      </w:r>
      <w:r w:rsidR="00A7590F" w:rsidRPr="0055056D">
        <w:t xml:space="preserve"> </w:t>
      </w:r>
    </w:p>
    <w:p w14:paraId="7A079E1E" w14:textId="29AFF846" w:rsidR="00A54FD3" w:rsidRPr="0055056D" w:rsidRDefault="00A7590F" w:rsidP="00541296">
      <w:pPr>
        <w:pStyle w:val="MBT"/>
        <w:rPr>
          <w:lang w:val="hu-HU"/>
        </w:rPr>
      </w:pPr>
      <w:r w:rsidRPr="0055056D">
        <w:t xml:space="preserve">Furthermore, in its 2021 report, the </w:t>
      </w:r>
      <w:r w:rsidR="004726D5" w:rsidRPr="0055056D">
        <w:t xml:space="preserve">SCA </w:t>
      </w:r>
      <w:r w:rsidR="00895108" w:rsidRPr="0055056D">
        <w:t xml:space="preserve">stated that </w:t>
      </w:r>
      <w:r w:rsidR="00A86FF8" w:rsidRPr="0055056D">
        <w:t xml:space="preserve">failure of the CFR to </w:t>
      </w:r>
      <w:r w:rsidR="00011BE1" w:rsidRPr="0055056D">
        <w:t>speak out in a manner that promotes protection of all human rights demonstrates a lack of sufficient independence</w:t>
      </w:r>
      <w:r w:rsidR="001A2B7C" w:rsidRPr="0055056D">
        <w:t xml:space="preserve">. </w:t>
      </w:r>
      <w:r w:rsidR="00EE30DB" w:rsidRPr="0055056D">
        <w:t xml:space="preserve">It also noted that </w:t>
      </w:r>
      <w:r w:rsidR="00711C0D" w:rsidRPr="0055056D">
        <w:rPr>
          <w:bCs w:val="0"/>
        </w:rPr>
        <w:t xml:space="preserve">the CFR </w:t>
      </w:r>
      <w:r w:rsidR="00854DAA" w:rsidRPr="0055056D">
        <w:rPr>
          <w:bCs w:val="0"/>
        </w:rPr>
        <w:t>“</w:t>
      </w:r>
      <w:r w:rsidR="00711C0D" w:rsidRPr="0055056D">
        <w:rPr>
          <w:bCs w:val="0"/>
          <w:i/>
          <w:iCs/>
        </w:rPr>
        <w:t>is operating in a way that has seriously compromised</w:t>
      </w:r>
      <w:r w:rsidR="00A54FD3" w:rsidRPr="0055056D">
        <w:rPr>
          <w:i/>
        </w:rPr>
        <w:t xml:space="preserve"> </w:t>
      </w:r>
      <w:r w:rsidR="004517D4" w:rsidRPr="0055056D">
        <w:rPr>
          <w:i/>
        </w:rPr>
        <w:t xml:space="preserve">its </w:t>
      </w:r>
      <w:r w:rsidR="00711C0D" w:rsidRPr="0055056D">
        <w:rPr>
          <w:bCs w:val="0"/>
          <w:i/>
          <w:iCs/>
        </w:rPr>
        <w:t>compliance with the Paris Principles</w:t>
      </w:r>
      <w:r w:rsidR="00711C0D" w:rsidRPr="0055056D">
        <w:rPr>
          <w:bCs w:val="0"/>
        </w:rPr>
        <w:t>”</w:t>
      </w:r>
      <w:r w:rsidR="00711C0D" w:rsidRPr="0055056D">
        <w:rPr>
          <w:bCs w:val="0"/>
          <w:vertAlign w:val="superscript"/>
        </w:rPr>
        <w:footnoteReference w:id="66"/>
      </w:r>
      <w:r w:rsidR="002F1026" w:rsidRPr="0055056D">
        <w:rPr>
          <w:bCs w:val="0"/>
        </w:rPr>
        <w:t xml:space="preserve">, therefore, it recommended </w:t>
      </w:r>
      <w:r w:rsidR="006C7BFE" w:rsidRPr="0055056D">
        <w:t xml:space="preserve">that the CFR be downgraded </w:t>
      </w:r>
      <w:r w:rsidR="001E63F3" w:rsidRPr="0055056D">
        <w:t>to status “B” (partially compliant with the Paris Principles)</w:t>
      </w:r>
      <w:r w:rsidR="00AB13CA" w:rsidRPr="0055056D">
        <w:t>.</w:t>
      </w:r>
      <w:r w:rsidR="005C7277" w:rsidRPr="0055056D">
        <w:t xml:space="preserve"> The CFR was gi</w:t>
      </w:r>
      <w:r w:rsidR="00E45482" w:rsidRPr="0055056D">
        <w:t xml:space="preserve">ven the </w:t>
      </w:r>
      <w:r w:rsidR="00ED50D8" w:rsidRPr="0055056D">
        <w:t>opportunity to provide the documentary evidence necessary to establish its continued conformity with the Paris Principles.</w:t>
      </w:r>
      <w:r w:rsidR="00C1005E" w:rsidRPr="0055056D">
        <w:t xml:space="preserve"> However, i</w:t>
      </w:r>
      <w:r w:rsidR="00A54FD3" w:rsidRPr="0055056D">
        <w:t xml:space="preserve">n </w:t>
      </w:r>
      <w:r w:rsidR="004517D4" w:rsidRPr="0055056D">
        <w:t xml:space="preserve">its most recent report </w:t>
      </w:r>
      <w:r w:rsidR="00AD5382" w:rsidRPr="0055056D">
        <w:t>is</w:t>
      </w:r>
      <w:r w:rsidR="004952AE" w:rsidRPr="0055056D">
        <w:t xml:space="preserve">sued </w:t>
      </w:r>
      <w:r w:rsidR="004517D4" w:rsidRPr="0055056D">
        <w:t xml:space="preserve">in </w:t>
      </w:r>
      <w:r w:rsidR="00A54FD3" w:rsidRPr="0055056D">
        <w:t xml:space="preserve">March 2022, the SCA </w:t>
      </w:r>
      <w:r w:rsidR="000B3376" w:rsidRPr="0055056D">
        <w:t xml:space="preserve">reiterated its previous </w:t>
      </w:r>
      <w:r w:rsidR="00A54FD3" w:rsidRPr="0055056D">
        <w:t>recommen</w:t>
      </w:r>
      <w:r w:rsidR="000B3376" w:rsidRPr="0055056D">
        <w:t>dation</w:t>
      </w:r>
      <w:r w:rsidR="00A54FD3" w:rsidRPr="0055056D">
        <w:t xml:space="preserve"> </w:t>
      </w:r>
      <w:r w:rsidR="00B67497" w:rsidRPr="0055056D">
        <w:t>for downgrading</w:t>
      </w:r>
      <w:r w:rsidR="008429D0" w:rsidRPr="0055056D">
        <w:t xml:space="preserve">, noting again </w:t>
      </w:r>
      <w:r w:rsidR="00A54FD3" w:rsidRPr="0055056D">
        <w:t>with concern, among others, that:</w:t>
      </w:r>
      <w:r w:rsidR="008429D0" w:rsidRPr="0055056D">
        <w:t xml:space="preserve"> </w:t>
      </w:r>
      <w:r w:rsidR="006C5304" w:rsidRPr="0055056D">
        <w:rPr>
          <w:i/>
          <w:iCs/>
        </w:rPr>
        <w:t>“[b]</w:t>
      </w:r>
      <w:proofErr w:type="spellStart"/>
      <w:r w:rsidR="006C5304" w:rsidRPr="0055056D">
        <w:rPr>
          <w:i/>
          <w:iCs/>
        </w:rPr>
        <w:t>ased</w:t>
      </w:r>
      <w:proofErr w:type="spellEnd"/>
      <w:r w:rsidR="006C5304" w:rsidRPr="0055056D">
        <w:rPr>
          <w:i/>
          <w:iCs/>
        </w:rPr>
        <w:t xml:space="preserve"> on the CFR written and oral response </w:t>
      </w:r>
      <w:r w:rsidR="00442134" w:rsidRPr="0055056D">
        <w:rPr>
          <w:i/>
          <w:iCs/>
        </w:rPr>
        <w:t xml:space="preserve">[…] </w:t>
      </w:r>
      <w:r w:rsidR="00E47D2C" w:rsidRPr="0055056D">
        <w:rPr>
          <w:i/>
          <w:iCs/>
        </w:rPr>
        <w:t xml:space="preserve">the SCA is of the view that </w:t>
      </w:r>
      <w:r w:rsidR="00A54FD3" w:rsidRPr="0055056D">
        <w:rPr>
          <w:i/>
          <w:iCs/>
        </w:rPr>
        <w:t xml:space="preserve">the CFR has not effectively engaged on and publicly addressed </w:t>
      </w:r>
      <w:bookmarkStart w:id="7" w:name="_Hlk133947096"/>
      <w:r w:rsidR="00A54FD3" w:rsidRPr="0055056D">
        <w:rPr>
          <w:i/>
          <w:iCs/>
        </w:rPr>
        <w:t xml:space="preserve">all human rights issues, including in relation to vulnerable groups such as ethnic minorities, LGBTI, refugees and migrants </w:t>
      </w:r>
      <w:bookmarkEnd w:id="7"/>
      <w:r w:rsidR="00A54FD3" w:rsidRPr="0055056D">
        <w:rPr>
          <w:i/>
          <w:iCs/>
        </w:rPr>
        <w:t>as well as constitutional court cases deemed political and institutional, media pluralism, civic space and judicial independence”</w:t>
      </w:r>
      <w:r w:rsidR="00A54FD3" w:rsidRPr="0055056D">
        <w:rPr>
          <w:rStyle w:val="Rimandonotaapidipagina"/>
        </w:rPr>
        <w:footnoteReference w:id="67"/>
      </w:r>
      <w:r w:rsidR="00FC1716" w:rsidRPr="0055056D">
        <w:rPr>
          <w:i/>
          <w:iCs/>
        </w:rPr>
        <w:t>.</w:t>
      </w:r>
      <w:r w:rsidR="00A54FD3" w:rsidRPr="0055056D">
        <w:t xml:space="preserve"> </w:t>
      </w:r>
      <w:r w:rsidR="004478C3" w:rsidRPr="0055056D">
        <w:t>The recommendation took effect i</w:t>
      </w:r>
      <w:r w:rsidR="002A4084" w:rsidRPr="0055056D">
        <w:t>n</w:t>
      </w:r>
      <w:r w:rsidR="00C23D87" w:rsidRPr="0055056D">
        <w:t xml:space="preserve"> April 2022, </w:t>
      </w:r>
      <w:r w:rsidR="00AB7B5E" w:rsidRPr="0055056D">
        <w:t xml:space="preserve">and since then </w:t>
      </w:r>
      <w:r w:rsidR="00C23D87" w:rsidRPr="0055056D">
        <w:t xml:space="preserve">the CFR is accredited as a </w:t>
      </w:r>
      <w:r w:rsidR="00CE16B2" w:rsidRPr="0055056D">
        <w:t>“</w:t>
      </w:r>
      <w:r w:rsidR="00C23D87" w:rsidRPr="0055056D">
        <w:t>B</w:t>
      </w:r>
      <w:r w:rsidR="00CE16B2" w:rsidRPr="0055056D">
        <w:t>”</w:t>
      </w:r>
      <w:r w:rsidR="00C23D87" w:rsidRPr="0055056D">
        <w:t xml:space="preserve"> status institution with the GANHRI</w:t>
      </w:r>
      <w:r w:rsidR="00C23D87" w:rsidRPr="0055056D">
        <w:rPr>
          <w:rStyle w:val="Rimandonotaapidipagina"/>
        </w:rPr>
        <w:footnoteReference w:id="68"/>
      </w:r>
      <w:r w:rsidR="00FC1716" w:rsidRPr="0055056D">
        <w:t>.</w:t>
      </w:r>
    </w:p>
    <w:p w14:paraId="5BBE62CE" w14:textId="764A0B60" w:rsidR="001C093D" w:rsidRPr="0055056D" w:rsidRDefault="00FD506F" w:rsidP="00FD506F">
      <w:pPr>
        <w:pStyle w:val="MBT"/>
      </w:pPr>
      <w:r w:rsidRPr="0055056D">
        <w:rPr>
          <w:b/>
        </w:rPr>
        <w:lastRenderedPageBreak/>
        <w:t>Hungarian human rights NGOs</w:t>
      </w:r>
      <w:r w:rsidRPr="0055056D">
        <w:t xml:space="preserve">, such as the Hungarian Helsinki Committee, Amnesty International Hungary, Eötvös </w:t>
      </w:r>
      <w:proofErr w:type="spellStart"/>
      <w:r w:rsidRPr="0055056D">
        <w:t>Károly</w:t>
      </w:r>
      <w:proofErr w:type="spellEnd"/>
      <w:r w:rsidRPr="0055056D">
        <w:t xml:space="preserve"> Institute, </w:t>
      </w:r>
      <w:proofErr w:type="spellStart"/>
      <w:r w:rsidRPr="0055056D">
        <w:t>Háttér</w:t>
      </w:r>
      <w:proofErr w:type="spellEnd"/>
      <w:r w:rsidRPr="0055056D">
        <w:t xml:space="preserve"> Society and the Hungarian Civil Liberties Union also raised </w:t>
      </w:r>
      <w:r w:rsidR="00424C29" w:rsidRPr="0055056D">
        <w:t xml:space="preserve">similar </w:t>
      </w:r>
      <w:r w:rsidRPr="0055056D">
        <w:t>concerns, and in their shadow report submitted to the SCA in February 2021</w:t>
      </w:r>
      <w:r w:rsidRPr="0055056D">
        <w:rPr>
          <w:rStyle w:val="Rimandonotaapidipagina"/>
        </w:rPr>
        <w:footnoteReference w:id="69"/>
      </w:r>
      <w:r w:rsidRPr="0055056D">
        <w:t>, concluded that “</w:t>
      </w:r>
      <w:r w:rsidRPr="0055056D">
        <w:rPr>
          <w:i/>
          <w:iCs/>
        </w:rPr>
        <w:t>while the Commissioner has been very active in certain, politically neutral areas</w:t>
      </w:r>
      <w:r w:rsidRPr="0055056D">
        <w:t xml:space="preserve">, </w:t>
      </w:r>
      <w:r w:rsidRPr="0055056D">
        <w:rPr>
          <w:b/>
          <w:i/>
        </w:rPr>
        <w:t>he has been avoiding to go against the Government and the governing majority in politically sensitive cases</w:t>
      </w:r>
      <w:r w:rsidRPr="0055056D">
        <w:rPr>
          <w:i/>
          <w:iCs/>
        </w:rPr>
        <w:t>, and has failed to step up or to step up adequately  to protect the rights of affected groups</w:t>
      </w:r>
      <w:r w:rsidRPr="0055056D">
        <w:t>”</w:t>
      </w:r>
      <w:r w:rsidRPr="0055056D">
        <w:rPr>
          <w:rStyle w:val="Rimandonotaapidipagina"/>
        </w:rPr>
        <w:footnoteReference w:id="70"/>
      </w:r>
      <w:r w:rsidR="005A5314" w:rsidRPr="0055056D">
        <w:t>.</w:t>
      </w:r>
      <w:r w:rsidRPr="0055056D">
        <w:t xml:space="preserve"> The selection process of the </w:t>
      </w:r>
      <w:r w:rsidR="004F199D" w:rsidRPr="0055056D">
        <w:t>CFR</w:t>
      </w:r>
      <w:r w:rsidRPr="0055056D">
        <w:t xml:space="preserve"> was also contested by the SCA in 2019 as not sufficiently broad and transparent, and the mentioned NGOs showed in their shadow report that no initiatives have been taken by the executive or the legislative to </w:t>
      </w:r>
      <w:r w:rsidR="0028583E" w:rsidRPr="0055056D">
        <w:t>ameliorate</w:t>
      </w:r>
      <w:r w:rsidRPr="0055056D">
        <w:t xml:space="preserve"> this.</w:t>
      </w:r>
      <w:r w:rsidRPr="0055056D">
        <w:rPr>
          <w:rStyle w:val="Rimandonotaapidipagina"/>
        </w:rPr>
        <w:footnoteReference w:id="71"/>
      </w:r>
      <w:r w:rsidRPr="0055056D">
        <w:t xml:space="preserve"> </w:t>
      </w:r>
    </w:p>
    <w:p w14:paraId="7A56C531" w14:textId="5745BF81" w:rsidR="0084075F" w:rsidRPr="0055056D" w:rsidRDefault="00FD506F" w:rsidP="00CB538B">
      <w:pPr>
        <w:pStyle w:val="MBT"/>
      </w:pPr>
      <w:r w:rsidRPr="0055056D">
        <w:t xml:space="preserve">The NGOs also recalled the controversial abolishment of the Equal Treatment Authority (ETA) and the transfer of its tasks and </w:t>
      </w:r>
      <w:r w:rsidR="0080458A" w:rsidRPr="0055056D">
        <w:t>competencies</w:t>
      </w:r>
      <w:r w:rsidRPr="0055056D">
        <w:t xml:space="preserve"> to the </w:t>
      </w:r>
      <w:r w:rsidR="0080458A" w:rsidRPr="0055056D">
        <w:t>CFR</w:t>
      </w:r>
      <w:r w:rsidRPr="0055056D">
        <w:t xml:space="preserve"> as of 1 January 2021 in a process that lacked </w:t>
      </w:r>
      <w:proofErr w:type="gramStart"/>
      <w:r w:rsidRPr="0055056D">
        <w:t>transparency, and</w:t>
      </w:r>
      <w:proofErr w:type="gramEnd"/>
      <w:r w:rsidRPr="0055056D">
        <w:t xml:space="preserve"> stressed that while the ETA used to step up in the defence of vulnerable groups, the CFR fails to (adequately) act in defence of their rights</w:t>
      </w:r>
      <w:r w:rsidRPr="0055056D">
        <w:rPr>
          <w:rStyle w:val="Rimandonotaapidipagina"/>
        </w:rPr>
        <w:footnoteReference w:id="72"/>
      </w:r>
      <w:r w:rsidR="00E3079B" w:rsidRPr="0055056D">
        <w:t>.</w:t>
      </w:r>
      <w:r w:rsidRPr="0055056D">
        <w:t xml:space="preserve"> </w:t>
      </w:r>
      <w:r w:rsidR="0084075F" w:rsidRPr="0055056D">
        <w:t xml:space="preserve">The European Network of Legal Experts in Gender Equality and Non-discrimination </w:t>
      </w:r>
      <w:r w:rsidR="004B6F41" w:rsidRPr="0055056D">
        <w:t>reported</w:t>
      </w:r>
      <w:r w:rsidR="0084075F" w:rsidRPr="0055056D">
        <w:t xml:space="preserve"> that: </w:t>
      </w:r>
      <w:r w:rsidR="0084075F" w:rsidRPr="0055056D">
        <w:rPr>
          <w:i/>
          <w:iCs/>
        </w:rPr>
        <w:t>“while the Equal Treatment Authority was a well-functioning body that had gained the respect of a wide range of stakeholders, including civil society organisations representing the interests of the protected groups, the same cannot be said about the Ombudsman […] there is a strong concern that due to the lack of the Ombudsman’s functional independence, the reorganisation of the institutional framework has decreased the level of protection against discrimination in Hungary”</w:t>
      </w:r>
      <w:r w:rsidR="0084075F" w:rsidRPr="0055056D">
        <w:t>.</w:t>
      </w:r>
      <w:r w:rsidR="0084075F" w:rsidRPr="0055056D">
        <w:rPr>
          <w:rStyle w:val="Rimandonotaapidipagina"/>
        </w:rPr>
        <w:footnoteReference w:id="73"/>
      </w:r>
      <w:r w:rsidR="0084075F" w:rsidRPr="0055056D">
        <w:t xml:space="preserve"> </w:t>
      </w:r>
    </w:p>
    <w:p w14:paraId="14082EEB" w14:textId="5C7CEFC5" w:rsidR="001800B6" w:rsidRPr="0055056D" w:rsidRDefault="00833541" w:rsidP="00212ED3">
      <w:pPr>
        <w:pStyle w:val="MBT"/>
      </w:pPr>
      <w:r w:rsidRPr="0055056D">
        <w:rPr>
          <w:lang w:val="en-US"/>
        </w:rPr>
        <w:t xml:space="preserve">The </w:t>
      </w:r>
      <w:r w:rsidRPr="0055056D">
        <w:rPr>
          <w:b/>
          <w:lang w:val="en-US"/>
        </w:rPr>
        <w:t>Council of Europe Commissioner of Human Rights</w:t>
      </w:r>
      <w:r w:rsidRPr="0055056D">
        <w:rPr>
          <w:lang w:val="en-US"/>
        </w:rPr>
        <w:t xml:space="preserve"> also expressed concerns about the merger of the ETA and the CFR, </w:t>
      </w:r>
      <w:r w:rsidR="003236F1" w:rsidRPr="0055056D">
        <w:rPr>
          <w:lang w:val="en-US"/>
        </w:rPr>
        <w:t>indicating</w:t>
      </w:r>
      <w:r w:rsidRPr="0055056D">
        <w:rPr>
          <w:lang w:val="en-US"/>
        </w:rPr>
        <w:t xml:space="preserve"> that doubts remained about the appointment of the Commissioner in office and the adequacy of the </w:t>
      </w:r>
      <w:r w:rsidR="00AD2C9B" w:rsidRPr="0055056D">
        <w:rPr>
          <w:lang w:val="en-US"/>
        </w:rPr>
        <w:t>CFR</w:t>
      </w:r>
      <w:r w:rsidRPr="0055056D">
        <w:rPr>
          <w:lang w:val="en-US"/>
        </w:rPr>
        <w:t xml:space="preserve">’s efforts to </w:t>
      </w:r>
      <w:r w:rsidR="00397761" w:rsidRPr="0055056D">
        <w:rPr>
          <w:lang w:val="en-US"/>
        </w:rPr>
        <w:t>address</w:t>
      </w:r>
      <w:r w:rsidRPr="0055056D">
        <w:rPr>
          <w:lang w:val="en-US"/>
        </w:rPr>
        <w:t xml:space="preserve"> all human rights</w:t>
      </w:r>
      <w:r w:rsidR="00397761" w:rsidRPr="0055056D">
        <w:rPr>
          <w:lang w:val="en-US"/>
        </w:rPr>
        <w:t xml:space="preserve"> issues</w:t>
      </w:r>
      <w:r w:rsidRPr="0055056D">
        <w:rPr>
          <w:vertAlign w:val="superscript"/>
          <w:lang w:val="en-US"/>
        </w:rPr>
        <w:footnoteReference w:id="74"/>
      </w:r>
      <w:r w:rsidR="008A3BD7" w:rsidRPr="0055056D">
        <w:rPr>
          <w:lang w:val="en-US"/>
        </w:rPr>
        <w:t>.</w:t>
      </w:r>
      <w:r w:rsidRPr="0055056D">
        <w:rPr>
          <w:lang w:val="en-US"/>
        </w:rPr>
        <w:t xml:space="preserve"> </w:t>
      </w:r>
      <w:r w:rsidR="00CD731C" w:rsidRPr="0055056D">
        <w:t>In t</w:t>
      </w:r>
      <w:r w:rsidR="00683946" w:rsidRPr="0055056D">
        <w:t xml:space="preserve">he </w:t>
      </w:r>
      <w:r w:rsidR="00683946" w:rsidRPr="0055056D">
        <w:rPr>
          <w:b/>
          <w:bCs w:val="0"/>
        </w:rPr>
        <w:t>Venice Commission</w:t>
      </w:r>
      <w:r w:rsidR="00CD731C" w:rsidRPr="0055056D">
        <w:t xml:space="preserve">’s view, </w:t>
      </w:r>
      <w:r w:rsidR="00253FD7" w:rsidRPr="0055056D">
        <w:t>“</w:t>
      </w:r>
      <w:r w:rsidR="00683946" w:rsidRPr="0055056D">
        <w:rPr>
          <w:i/>
          <w:iCs/>
        </w:rPr>
        <w:t>the new system of protection against discrimination is overall more complicated and thus has the potential to be less effective than the previous one</w:t>
      </w:r>
      <w:r w:rsidR="00497A2E" w:rsidRPr="0055056D">
        <w:t>”</w:t>
      </w:r>
      <w:r w:rsidR="00017734" w:rsidRPr="0055056D">
        <w:rPr>
          <w:rStyle w:val="Rimandonotaapidipagina"/>
        </w:rPr>
        <w:footnoteReference w:id="75"/>
      </w:r>
      <w:r w:rsidR="00683946" w:rsidRPr="0055056D">
        <w:t xml:space="preserve">. </w:t>
      </w:r>
    </w:p>
    <w:p w14:paraId="6C3F9EB2" w14:textId="74644C77" w:rsidR="00833541" w:rsidRPr="0055056D" w:rsidRDefault="00D4346D" w:rsidP="00CB538B">
      <w:pPr>
        <w:pStyle w:val="MBT"/>
      </w:pPr>
      <w:r w:rsidRPr="0055056D">
        <w:t>Hu</w:t>
      </w:r>
      <w:r w:rsidR="00D538C8" w:rsidRPr="0055056D">
        <w:t xml:space="preserve">ngarian </w:t>
      </w:r>
      <w:r w:rsidR="00212ED3" w:rsidRPr="0055056D">
        <w:t>NGOs have reported that</w:t>
      </w:r>
      <w:r w:rsidR="00A04DB8" w:rsidRPr="0055056D">
        <w:t xml:space="preserve"> the </w:t>
      </w:r>
      <w:r w:rsidR="00A04DB8" w:rsidRPr="0055056D">
        <w:rPr>
          <w:b/>
        </w:rPr>
        <w:t xml:space="preserve">number of discrimination complaints has significantly </w:t>
      </w:r>
      <w:r w:rsidR="008D567A" w:rsidRPr="0055056D">
        <w:rPr>
          <w:b/>
        </w:rPr>
        <w:t>decreased</w:t>
      </w:r>
      <w:r w:rsidR="00A04DB8" w:rsidRPr="0055056D">
        <w:rPr>
          <w:b/>
        </w:rPr>
        <w:t xml:space="preserve"> since the CFR became the equality body</w:t>
      </w:r>
      <w:r w:rsidR="00B45353" w:rsidRPr="0055056D">
        <w:t xml:space="preserve">. For instance, while the ETA received 868 cases in 2019, in </w:t>
      </w:r>
      <w:r w:rsidR="00B45353" w:rsidRPr="0055056D">
        <w:rPr>
          <w:rFonts w:cs="Arial"/>
        </w:rPr>
        <w:t xml:space="preserve">the first </w:t>
      </w:r>
      <w:r w:rsidR="00587330" w:rsidRPr="0055056D">
        <w:rPr>
          <w:rFonts w:cs="Arial"/>
        </w:rPr>
        <w:t>semester</w:t>
      </w:r>
      <w:r w:rsidR="00B45353" w:rsidRPr="0055056D">
        <w:rPr>
          <w:rFonts w:cs="Arial"/>
        </w:rPr>
        <w:t xml:space="preserve"> of 2021, </w:t>
      </w:r>
      <w:r w:rsidR="00587330" w:rsidRPr="0055056D">
        <w:rPr>
          <w:rFonts w:cs="Arial"/>
        </w:rPr>
        <w:t>the Directorate of Equal Treatment of the CFR</w:t>
      </w:r>
      <w:r w:rsidR="00B45353" w:rsidRPr="0055056D">
        <w:rPr>
          <w:rFonts w:cs="Arial"/>
        </w:rPr>
        <w:t xml:space="preserve"> received only 156 complaints</w:t>
      </w:r>
      <w:r w:rsidR="00A04DB8" w:rsidRPr="0055056D">
        <w:rPr>
          <w:rStyle w:val="Rimandonotaapidipagina"/>
          <w:rFonts w:ascii="Arial" w:hAnsi="Arial" w:cs="Arial"/>
          <w:sz w:val="22"/>
        </w:rPr>
        <w:footnoteReference w:id="76"/>
      </w:r>
      <w:r w:rsidR="00A04DB8" w:rsidRPr="0055056D">
        <w:rPr>
          <w:rFonts w:cs="Arial"/>
        </w:rPr>
        <w:t>.</w:t>
      </w:r>
      <w:r w:rsidR="002B524D" w:rsidRPr="0055056D">
        <w:rPr>
          <w:rFonts w:eastAsiaTheme="minorHAnsi" w:cs="Arial"/>
          <w:color w:val="000000" w:themeColor="text1"/>
          <w:lang w:val="en-US" w:eastAsia="en-US"/>
        </w:rPr>
        <w:t xml:space="preserve"> </w:t>
      </w:r>
      <w:r w:rsidR="00B2501D" w:rsidRPr="0055056D">
        <w:rPr>
          <w:rFonts w:eastAsiaTheme="minorHAnsi" w:cs="Arial"/>
          <w:color w:val="000000" w:themeColor="text1"/>
          <w:lang w:val="en-US" w:eastAsia="en-US"/>
        </w:rPr>
        <w:t>In addition</w:t>
      </w:r>
      <w:r w:rsidR="00CA407D" w:rsidRPr="0055056D">
        <w:rPr>
          <w:rFonts w:eastAsiaTheme="minorHAnsi" w:cs="Arial"/>
          <w:color w:val="000000" w:themeColor="text1"/>
          <w:lang w:val="en-US" w:eastAsia="en-US"/>
        </w:rPr>
        <w:t xml:space="preserve">, it was also </w:t>
      </w:r>
      <w:r w:rsidR="00240589" w:rsidRPr="0055056D">
        <w:rPr>
          <w:rFonts w:eastAsiaTheme="minorHAnsi" w:cs="Arial"/>
          <w:color w:val="000000" w:themeColor="text1"/>
          <w:lang w:val="en-US" w:eastAsia="en-US"/>
        </w:rPr>
        <w:t xml:space="preserve">reported that </w:t>
      </w:r>
      <w:r w:rsidR="008E4C08" w:rsidRPr="0055056D">
        <w:rPr>
          <w:rFonts w:eastAsiaTheme="minorHAnsi" w:cs="Arial"/>
          <w:color w:val="000000" w:themeColor="text1"/>
          <w:lang w:val="en-US" w:eastAsia="en-US"/>
        </w:rPr>
        <w:t xml:space="preserve">the CFR </w:t>
      </w:r>
      <w:r w:rsidR="00B17003" w:rsidRPr="0055056D">
        <w:rPr>
          <w:rFonts w:eastAsiaTheme="minorHAnsi" w:cs="Arial"/>
          <w:color w:val="000000" w:themeColor="text1"/>
          <w:lang w:val="en-US" w:eastAsia="en-US"/>
        </w:rPr>
        <w:t xml:space="preserve">did not </w:t>
      </w:r>
      <w:r w:rsidR="007810D0" w:rsidRPr="0055056D">
        <w:rPr>
          <w:rFonts w:eastAsiaTheme="minorHAnsi" w:cs="Arial"/>
          <w:color w:val="000000" w:themeColor="text1"/>
          <w:lang w:val="en-US" w:eastAsia="en-US"/>
        </w:rPr>
        <w:t xml:space="preserve">investigate </w:t>
      </w:r>
      <w:r w:rsidR="006B4709" w:rsidRPr="0055056D">
        <w:rPr>
          <w:rFonts w:eastAsiaTheme="minorHAnsi" w:cs="Arial"/>
          <w:color w:val="000000" w:themeColor="text1"/>
          <w:lang w:val="en-US" w:eastAsia="en-US"/>
        </w:rPr>
        <w:t xml:space="preserve">complaints filed with the institution. For instance, </w:t>
      </w:r>
      <w:proofErr w:type="spellStart"/>
      <w:r w:rsidR="002B524D" w:rsidRPr="0055056D">
        <w:rPr>
          <w:rFonts w:cs="Arial"/>
          <w:lang w:val="en-US"/>
        </w:rPr>
        <w:t>Romaversitas</w:t>
      </w:r>
      <w:proofErr w:type="spellEnd"/>
      <w:r w:rsidR="002B524D" w:rsidRPr="0055056D">
        <w:rPr>
          <w:lang w:val="en-US"/>
        </w:rPr>
        <w:t xml:space="preserve">, a Roma-led community education </w:t>
      </w:r>
      <w:proofErr w:type="spellStart"/>
      <w:r w:rsidR="002D7D10" w:rsidRPr="0055056D">
        <w:rPr>
          <w:lang w:val="en-US"/>
        </w:rPr>
        <w:t>organi</w:t>
      </w:r>
      <w:r w:rsidR="0052099F" w:rsidRPr="0055056D">
        <w:rPr>
          <w:lang w:val="en-US"/>
        </w:rPr>
        <w:t>s</w:t>
      </w:r>
      <w:r w:rsidR="002D7D10" w:rsidRPr="0055056D">
        <w:rPr>
          <w:lang w:val="en-US"/>
        </w:rPr>
        <w:t>ation</w:t>
      </w:r>
      <w:proofErr w:type="spellEnd"/>
      <w:r w:rsidR="002D7D10" w:rsidRPr="0055056D">
        <w:rPr>
          <w:lang w:val="en-US"/>
        </w:rPr>
        <w:t xml:space="preserve"> in Hungary</w:t>
      </w:r>
      <w:r w:rsidR="00CB441A" w:rsidRPr="0055056D">
        <w:rPr>
          <w:lang w:val="en-US"/>
        </w:rPr>
        <w:t xml:space="preserve"> reported</w:t>
      </w:r>
      <w:r w:rsidR="002B524D" w:rsidRPr="0055056D">
        <w:rPr>
          <w:lang w:val="en-US"/>
        </w:rPr>
        <w:t xml:space="preserve"> that Romani activists have complained to the </w:t>
      </w:r>
      <w:r w:rsidR="00CB441A" w:rsidRPr="0055056D">
        <w:rPr>
          <w:lang w:val="en-US"/>
        </w:rPr>
        <w:t>CFR</w:t>
      </w:r>
      <w:r w:rsidR="002B524D" w:rsidRPr="0055056D">
        <w:rPr>
          <w:lang w:val="en-US"/>
        </w:rPr>
        <w:t xml:space="preserve"> about cases of discrimination</w:t>
      </w:r>
      <w:r w:rsidR="005C0C18" w:rsidRPr="0055056D">
        <w:t xml:space="preserve"> of </w:t>
      </w:r>
      <w:r w:rsidR="005C0C18" w:rsidRPr="0055056D">
        <w:rPr>
          <w:lang w:val="en-US"/>
        </w:rPr>
        <w:t>Transcarpathian Roma displaced persons in Hungary, but</w:t>
      </w:r>
      <w:r w:rsidR="002B524D" w:rsidRPr="0055056D">
        <w:rPr>
          <w:lang w:val="en-US"/>
        </w:rPr>
        <w:t xml:space="preserve"> the </w:t>
      </w:r>
      <w:r w:rsidR="005C0C18" w:rsidRPr="0055056D">
        <w:rPr>
          <w:lang w:val="en-US"/>
        </w:rPr>
        <w:t>CFR</w:t>
      </w:r>
      <w:r w:rsidR="002B524D" w:rsidRPr="0055056D">
        <w:rPr>
          <w:lang w:val="en-US"/>
        </w:rPr>
        <w:t xml:space="preserve"> did not </w:t>
      </w:r>
      <w:r w:rsidR="00093902" w:rsidRPr="0055056D">
        <w:rPr>
          <w:lang w:val="en-US"/>
        </w:rPr>
        <w:t>initi</w:t>
      </w:r>
      <w:r w:rsidR="00EB39D9" w:rsidRPr="0055056D">
        <w:rPr>
          <w:lang w:val="en-US"/>
        </w:rPr>
        <w:t>ate</w:t>
      </w:r>
      <w:r w:rsidR="002B524D" w:rsidRPr="0055056D">
        <w:rPr>
          <w:lang w:val="en-US"/>
        </w:rPr>
        <w:t xml:space="preserve"> investigati</w:t>
      </w:r>
      <w:r w:rsidR="006F0AB6" w:rsidRPr="0055056D">
        <w:rPr>
          <w:lang w:val="en-US"/>
        </w:rPr>
        <w:t xml:space="preserve">ons into </w:t>
      </w:r>
      <w:r w:rsidR="002B524D" w:rsidRPr="0055056D">
        <w:rPr>
          <w:lang w:val="en-US"/>
        </w:rPr>
        <w:t xml:space="preserve">the </w:t>
      </w:r>
      <w:r w:rsidR="002B524D" w:rsidRPr="0055056D">
        <w:t xml:space="preserve">violations </w:t>
      </w:r>
      <w:r w:rsidR="006F0AB6" w:rsidRPr="0055056D">
        <w:t>brought to their attention</w:t>
      </w:r>
      <w:r w:rsidR="002B524D" w:rsidRPr="0055056D">
        <w:rPr>
          <w:vertAlign w:val="superscript"/>
        </w:rPr>
        <w:footnoteReference w:id="77"/>
      </w:r>
      <w:r w:rsidR="006F0AB6" w:rsidRPr="0055056D">
        <w:t>.</w:t>
      </w:r>
    </w:p>
    <w:p w14:paraId="0200CBE5" w14:textId="46D66E96" w:rsidR="002034B7" w:rsidRPr="0055056D" w:rsidRDefault="00B97CC4" w:rsidP="006F4E20">
      <w:pPr>
        <w:pStyle w:val="MBT"/>
        <w:rPr>
          <w:lang w:val="hu-HU"/>
        </w:rPr>
      </w:pPr>
      <w:r w:rsidRPr="0055056D">
        <w:t xml:space="preserve">Against this background, </w:t>
      </w:r>
      <w:r w:rsidRPr="0055056D">
        <w:rPr>
          <w:b/>
        </w:rPr>
        <w:t xml:space="preserve">the efficacy of the procedures available </w:t>
      </w:r>
      <w:r w:rsidR="00811293" w:rsidRPr="0055056D">
        <w:rPr>
          <w:b/>
        </w:rPr>
        <w:t>before</w:t>
      </w:r>
      <w:r w:rsidRPr="0055056D">
        <w:rPr>
          <w:b/>
        </w:rPr>
        <w:t xml:space="preserve"> the </w:t>
      </w:r>
      <w:r w:rsidR="00811293" w:rsidRPr="0055056D">
        <w:rPr>
          <w:b/>
        </w:rPr>
        <w:t>CFR</w:t>
      </w:r>
      <w:r w:rsidRPr="0055056D">
        <w:rPr>
          <w:b/>
        </w:rPr>
        <w:t xml:space="preserve"> </w:t>
      </w:r>
      <w:r w:rsidR="00A958D9" w:rsidRPr="0055056D">
        <w:rPr>
          <w:b/>
        </w:rPr>
        <w:t>is</w:t>
      </w:r>
      <w:r w:rsidRPr="0055056D">
        <w:rPr>
          <w:b/>
        </w:rPr>
        <w:t xml:space="preserve"> questionable</w:t>
      </w:r>
      <w:r w:rsidRPr="0055056D">
        <w:t>.</w:t>
      </w:r>
      <w:r w:rsidR="00935C79" w:rsidRPr="0055056D">
        <w:rPr>
          <w:rFonts w:ascii="Times New Roman" w:hAnsi="Times New Roman"/>
          <w:sz w:val="24"/>
          <w:szCs w:val="24"/>
        </w:rPr>
        <w:t xml:space="preserve"> </w:t>
      </w:r>
      <w:r w:rsidR="00E27DDA" w:rsidRPr="0055056D">
        <w:rPr>
          <w:rFonts w:cs="Arial"/>
        </w:rPr>
        <w:t xml:space="preserve">Furthermore, </w:t>
      </w:r>
      <w:r w:rsidR="00935C79" w:rsidRPr="0055056D">
        <w:rPr>
          <w:rFonts w:cs="Arial"/>
        </w:rPr>
        <w:t xml:space="preserve">the CFR </w:t>
      </w:r>
      <w:r w:rsidR="003571A3" w:rsidRPr="0055056D">
        <w:rPr>
          <w:rFonts w:cs="Arial"/>
        </w:rPr>
        <w:t>does</w:t>
      </w:r>
      <w:r w:rsidR="00935C79" w:rsidRPr="0055056D">
        <w:rPr>
          <w:rFonts w:cs="Arial"/>
        </w:rPr>
        <w:t xml:space="preserve"> not </w:t>
      </w:r>
      <w:r w:rsidR="003571A3" w:rsidRPr="0055056D">
        <w:rPr>
          <w:rFonts w:cs="Arial"/>
        </w:rPr>
        <w:t>seem to have</w:t>
      </w:r>
      <w:r w:rsidR="00935C79" w:rsidRPr="0055056D">
        <w:rPr>
          <w:rFonts w:cs="Arial"/>
        </w:rPr>
        <w:t xml:space="preserve"> challenged any legislative acts </w:t>
      </w:r>
      <w:r w:rsidR="002E6108" w:rsidRPr="0055056D">
        <w:rPr>
          <w:rFonts w:cs="Arial"/>
        </w:rPr>
        <w:t xml:space="preserve">before </w:t>
      </w:r>
      <w:r w:rsidR="002E6108" w:rsidRPr="0055056D">
        <w:rPr>
          <w:rFonts w:cs="Arial"/>
        </w:rPr>
        <w:lastRenderedPageBreak/>
        <w:t>the Cons</w:t>
      </w:r>
      <w:r w:rsidR="00274D2B" w:rsidRPr="0055056D">
        <w:rPr>
          <w:rFonts w:cs="Arial"/>
        </w:rPr>
        <w:t>titu</w:t>
      </w:r>
      <w:r w:rsidR="002E6108" w:rsidRPr="0055056D">
        <w:rPr>
          <w:rFonts w:cs="Arial"/>
        </w:rPr>
        <w:t xml:space="preserve">tional Court </w:t>
      </w:r>
      <w:r w:rsidR="003571A3" w:rsidRPr="0055056D">
        <w:rPr>
          <w:rFonts w:cs="Arial"/>
        </w:rPr>
        <w:t>since</w:t>
      </w:r>
      <w:r w:rsidR="002E6108" w:rsidRPr="0055056D">
        <w:rPr>
          <w:rFonts w:cs="Arial"/>
        </w:rPr>
        <w:t xml:space="preserve"> 2020</w:t>
      </w:r>
      <w:r w:rsidR="002E6108" w:rsidRPr="0055056D">
        <w:rPr>
          <w:rStyle w:val="Rimandonotaapidipagina"/>
          <w:rFonts w:ascii="Arial" w:hAnsi="Arial" w:cs="Arial"/>
          <w:sz w:val="22"/>
        </w:rPr>
        <w:footnoteReference w:id="78"/>
      </w:r>
      <w:r w:rsidR="00972687" w:rsidRPr="0055056D">
        <w:rPr>
          <w:rFonts w:cs="Arial"/>
        </w:rPr>
        <w:t xml:space="preserve">, and as mentioned above, </w:t>
      </w:r>
      <w:r w:rsidR="0025610F" w:rsidRPr="0055056D">
        <w:rPr>
          <w:rFonts w:cs="Arial"/>
        </w:rPr>
        <w:t xml:space="preserve">it </w:t>
      </w:r>
      <w:r w:rsidR="00972687" w:rsidRPr="0055056D">
        <w:rPr>
          <w:rFonts w:cs="Arial"/>
        </w:rPr>
        <w:t xml:space="preserve">has been </w:t>
      </w:r>
      <w:r w:rsidR="00B720A7" w:rsidRPr="0055056D">
        <w:rPr>
          <w:rFonts w:cs="Arial"/>
        </w:rPr>
        <w:t>unwilling</w:t>
      </w:r>
      <w:r w:rsidR="00972687" w:rsidRPr="0055056D">
        <w:rPr>
          <w:rFonts w:cs="Arial"/>
        </w:rPr>
        <w:t xml:space="preserve"> to refer political or ins</w:t>
      </w:r>
      <w:r w:rsidR="00856FFD" w:rsidRPr="0055056D">
        <w:rPr>
          <w:rFonts w:cs="Arial"/>
        </w:rPr>
        <w:t>tit</w:t>
      </w:r>
      <w:r w:rsidR="00972687" w:rsidRPr="0055056D">
        <w:rPr>
          <w:rFonts w:cs="Arial"/>
        </w:rPr>
        <w:t>utional cases to the Constitutional Court for review</w:t>
      </w:r>
      <w:r w:rsidR="00935C79" w:rsidRPr="0055056D">
        <w:rPr>
          <w:rFonts w:cs="Arial"/>
        </w:rPr>
        <w:t>.</w:t>
      </w:r>
      <w:r w:rsidR="00B03D2E" w:rsidRPr="0055056D">
        <w:rPr>
          <w:rFonts w:cs="Arial"/>
        </w:rPr>
        <w:t xml:space="preserve"> </w:t>
      </w:r>
      <w:r w:rsidR="005812AA" w:rsidRPr="0055056D">
        <w:rPr>
          <w:rFonts w:cs="Arial"/>
        </w:rPr>
        <w:t>As</w:t>
      </w:r>
      <w:r w:rsidR="00B03D2E" w:rsidRPr="0055056D">
        <w:rPr>
          <w:rFonts w:cs="Arial"/>
        </w:rPr>
        <w:t xml:space="preserve"> to </w:t>
      </w:r>
      <w:r w:rsidR="00C34702" w:rsidRPr="0055056D">
        <w:rPr>
          <w:rFonts w:cs="Arial"/>
        </w:rPr>
        <w:t xml:space="preserve">reviewing draft legislation and initiating </w:t>
      </w:r>
      <w:r w:rsidR="00F23F52" w:rsidRPr="0055056D">
        <w:rPr>
          <w:rFonts w:cs="Arial"/>
        </w:rPr>
        <w:t>legislati</w:t>
      </w:r>
      <w:r w:rsidR="004C4E71" w:rsidRPr="0055056D">
        <w:rPr>
          <w:rFonts w:cs="Arial"/>
        </w:rPr>
        <w:t xml:space="preserve">ve </w:t>
      </w:r>
      <w:r w:rsidR="00D11BEC" w:rsidRPr="0055056D">
        <w:rPr>
          <w:rFonts w:cs="Arial"/>
        </w:rPr>
        <w:t xml:space="preserve">proposals, </w:t>
      </w:r>
      <w:r w:rsidR="006605FB" w:rsidRPr="0055056D">
        <w:rPr>
          <w:rFonts w:cs="Arial"/>
        </w:rPr>
        <w:t xml:space="preserve">in 2021 </w:t>
      </w:r>
      <w:r w:rsidR="002034B7" w:rsidRPr="0055056D">
        <w:rPr>
          <w:rFonts w:cs="Arial"/>
        </w:rPr>
        <w:t xml:space="preserve">NGOs reported that the CFR </w:t>
      </w:r>
      <w:r w:rsidR="00E81043" w:rsidRPr="0055056D">
        <w:rPr>
          <w:rFonts w:cs="Arial"/>
        </w:rPr>
        <w:t>“</w:t>
      </w:r>
      <w:r w:rsidR="002034B7" w:rsidRPr="0055056D">
        <w:rPr>
          <w:rFonts w:cs="Arial"/>
          <w:i/>
        </w:rPr>
        <w:t>has not stepped up in any way against an unconstitutional new law that excludes pecuniary compensation for segregation, even when 21 NGOs asked him to do so</w:t>
      </w:r>
      <w:r w:rsidR="000021F4" w:rsidRPr="0055056D">
        <w:rPr>
          <w:rFonts w:cs="Arial"/>
          <w:i/>
        </w:rPr>
        <w:t xml:space="preserve"> […]</w:t>
      </w:r>
      <w:r w:rsidR="005A3F06" w:rsidRPr="0055056D">
        <w:rPr>
          <w:rFonts w:cs="Arial"/>
          <w:i/>
        </w:rPr>
        <w:t>, he</w:t>
      </w:r>
      <w:r w:rsidR="000021F4" w:rsidRPr="0055056D">
        <w:rPr>
          <w:rFonts w:cs="Arial"/>
          <w:i/>
        </w:rPr>
        <w:t xml:space="preserve"> </w:t>
      </w:r>
      <w:r w:rsidR="002034B7" w:rsidRPr="0055056D">
        <w:rPr>
          <w:rFonts w:cs="Arial"/>
          <w:i/>
        </w:rPr>
        <w:t>has failed to protect the rights of LGBTQI people (e.g. against laws banning legal</w:t>
      </w:r>
      <w:r w:rsidR="002034B7" w:rsidRPr="0055056D">
        <w:rPr>
          <w:i/>
        </w:rPr>
        <w:t xml:space="preserve"> gender recognition and blocking adoptions, an anti</w:t>
      </w:r>
      <w:r w:rsidR="006F75F6" w:rsidRPr="0055056D">
        <w:rPr>
          <w:i/>
        </w:rPr>
        <w:t>-</w:t>
      </w:r>
      <w:r w:rsidR="002034B7" w:rsidRPr="0055056D">
        <w:rPr>
          <w:i/>
        </w:rPr>
        <w:t>LGBTQI constitutional amendment, and homophobic statements by politicians), despite calls by NGOs</w:t>
      </w:r>
      <w:r w:rsidR="00B861F9" w:rsidRPr="0055056D">
        <w:t>”</w:t>
      </w:r>
      <w:r w:rsidR="00380C0E" w:rsidRPr="0055056D">
        <w:rPr>
          <w:rStyle w:val="Rimandonotaapidipagina"/>
        </w:rPr>
        <w:footnoteReference w:id="79"/>
      </w:r>
      <w:r w:rsidR="002034B7" w:rsidRPr="0055056D">
        <w:t xml:space="preserve">. </w:t>
      </w:r>
      <w:r w:rsidR="00C12E58" w:rsidRPr="0055056D">
        <w:t xml:space="preserve">Hence, </w:t>
      </w:r>
      <w:r w:rsidR="00D224C6" w:rsidRPr="0055056D">
        <w:rPr>
          <w:b/>
          <w:bCs w:val="0"/>
        </w:rPr>
        <w:t xml:space="preserve">the </w:t>
      </w:r>
      <w:r w:rsidR="00882926" w:rsidRPr="0055056D">
        <w:rPr>
          <w:b/>
        </w:rPr>
        <w:t xml:space="preserve">exercise of the CFR’s </w:t>
      </w:r>
      <w:r w:rsidR="0016257F" w:rsidRPr="0055056D">
        <w:rPr>
          <w:b/>
        </w:rPr>
        <w:t>function</w:t>
      </w:r>
      <w:r w:rsidR="0016257F" w:rsidRPr="0055056D">
        <w:rPr>
          <w:b/>
          <w:bCs w:val="0"/>
        </w:rPr>
        <w:t xml:space="preserve"> to </w:t>
      </w:r>
      <w:r w:rsidR="008616A4" w:rsidRPr="0055056D">
        <w:rPr>
          <w:b/>
          <w:bCs w:val="0"/>
        </w:rPr>
        <w:t xml:space="preserve">challenge </w:t>
      </w:r>
      <w:r w:rsidR="00D91562" w:rsidRPr="0055056D">
        <w:rPr>
          <w:b/>
          <w:bCs w:val="0"/>
        </w:rPr>
        <w:t xml:space="preserve">controversial </w:t>
      </w:r>
      <w:r w:rsidR="00E135EA" w:rsidRPr="0055056D">
        <w:rPr>
          <w:b/>
          <w:bCs w:val="0"/>
        </w:rPr>
        <w:t xml:space="preserve">draft or adopted legislative </w:t>
      </w:r>
      <w:r w:rsidR="000E0FEB" w:rsidRPr="0055056D">
        <w:rPr>
          <w:b/>
          <w:bCs w:val="0"/>
        </w:rPr>
        <w:t>acts</w:t>
      </w:r>
      <w:r w:rsidR="00AF23F3" w:rsidRPr="0055056D">
        <w:rPr>
          <w:b/>
          <w:bCs w:val="0"/>
        </w:rPr>
        <w:t xml:space="preserve"> affecting fundamental rights is also deemed to be problematic</w:t>
      </w:r>
      <w:r w:rsidR="00AF23F3" w:rsidRPr="0055056D">
        <w:t>.</w:t>
      </w:r>
    </w:p>
    <w:p w14:paraId="11D5D9DF" w14:textId="77777777" w:rsidR="002034B7" w:rsidRPr="0055056D" w:rsidRDefault="002034B7" w:rsidP="006F4E20">
      <w:pPr>
        <w:pStyle w:val="MBT"/>
        <w:rPr>
          <w:lang w:val="hu-HU"/>
        </w:rPr>
      </w:pPr>
    </w:p>
    <w:p w14:paraId="340A81F6" w14:textId="6AC23804" w:rsidR="0017068F" w:rsidRPr="0055056D" w:rsidRDefault="0017068F" w:rsidP="0017068F">
      <w:pPr>
        <w:pStyle w:val="MBT"/>
        <w:rPr>
          <w:b/>
          <w:bCs w:val="0"/>
          <w:color w:val="000000"/>
        </w:rPr>
      </w:pPr>
      <w:r w:rsidRPr="0055056D">
        <w:rPr>
          <w:b/>
          <w:bCs w:val="0"/>
        </w:rPr>
        <w:t>National Authority for Data Protection and Freedom of Information (NAIH</w:t>
      </w:r>
      <w:r w:rsidR="00D40D9E" w:rsidRPr="0055056D">
        <w:rPr>
          <w:b/>
          <w:bCs w:val="0"/>
        </w:rPr>
        <w:t xml:space="preserve"> or DPA</w:t>
      </w:r>
      <w:r w:rsidRPr="0055056D">
        <w:rPr>
          <w:b/>
          <w:bCs w:val="0"/>
        </w:rPr>
        <w:t>)</w:t>
      </w:r>
    </w:p>
    <w:p w14:paraId="1FF3E10B" w14:textId="67ED7641" w:rsidR="004B0CD3" w:rsidRPr="0055056D" w:rsidRDefault="005C46F2" w:rsidP="009665E4">
      <w:pPr>
        <w:pStyle w:val="MBT"/>
      </w:pPr>
      <w:r w:rsidRPr="0055056D">
        <w:rPr>
          <w:lang w:val="hu-HU"/>
        </w:rPr>
        <w:t xml:space="preserve">According to </w:t>
      </w:r>
      <w:r w:rsidR="0017068F" w:rsidRPr="0055056D">
        <w:rPr>
          <w:lang w:val="hu-HU"/>
        </w:rPr>
        <w:t xml:space="preserve">Act no. CXII of 2011 </w:t>
      </w:r>
      <w:r w:rsidR="00E4072C" w:rsidRPr="0055056D">
        <w:t>on the right to informational self-determination and information freedom</w:t>
      </w:r>
      <w:r w:rsidR="00FE715B" w:rsidRPr="0055056D">
        <w:t xml:space="preserve"> (hereinafter Information Act)</w:t>
      </w:r>
      <w:r w:rsidRPr="0055056D">
        <w:t>, the NAIH is an autonomous state administration organ</w:t>
      </w:r>
      <w:r w:rsidR="00DE2F47" w:rsidRPr="0055056D">
        <w:t xml:space="preserve">, responsible for </w:t>
      </w:r>
      <w:r w:rsidR="00DE2F47" w:rsidRPr="0055056D">
        <w:rPr>
          <w:b/>
        </w:rPr>
        <w:t xml:space="preserve">monitoring and promoting the enforcement of </w:t>
      </w:r>
      <w:r w:rsidR="00114E43" w:rsidRPr="0055056D">
        <w:rPr>
          <w:b/>
        </w:rPr>
        <w:t xml:space="preserve">personal data </w:t>
      </w:r>
      <w:r w:rsidR="00DE2F47" w:rsidRPr="0055056D">
        <w:rPr>
          <w:b/>
        </w:rPr>
        <w:t>rights</w:t>
      </w:r>
      <w:r w:rsidR="00114E43" w:rsidRPr="0055056D">
        <w:t xml:space="preserve">, including </w:t>
      </w:r>
      <w:r w:rsidR="00DE2F47" w:rsidRPr="0055056D">
        <w:t xml:space="preserve">access to data of public interest and data accessible on public interest grounds, as well as </w:t>
      </w:r>
      <w:r w:rsidR="00300FA8" w:rsidRPr="0055056D">
        <w:t xml:space="preserve">for the promotion of </w:t>
      </w:r>
      <w:r w:rsidR="00DE2F47" w:rsidRPr="0055056D">
        <w:t>the free movement of personal data within the European Unio</w:t>
      </w:r>
      <w:r w:rsidRPr="0055056D">
        <w:rPr>
          <w:vertAlign w:val="superscript"/>
        </w:rPr>
        <w:footnoteReference w:id="80"/>
      </w:r>
      <w:r w:rsidRPr="0055056D">
        <w:t>.</w:t>
      </w:r>
      <w:r w:rsidR="001702E7" w:rsidRPr="0055056D">
        <w:t xml:space="preserve"> As mentioned above, </w:t>
      </w:r>
      <w:r w:rsidR="003618C6" w:rsidRPr="0055056D">
        <w:t xml:space="preserve">its predecessor was the Commissioner for Data </w:t>
      </w:r>
      <w:proofErr w:type="gramStart"/>
      <w:r w:rsidR="003618C6" w:rsidRPr="0055056D">
        <w:t>Protection</w:t>
      </w:r>
      <w:proofErr w:type="gramEnd"/>
      <w:r w:rsidR="003618C6" w:rsidRPr="0055056D">
        <w:t xml:space="preserve"> which was abolished </w:t>
      </w:r>
      <w:r w:rsidR="000E7519" w:rsidRPr="0055056D">
        <w:t>in 2012</w:t>
      </w:r>
      <w:r w:rsidR="00930DAB" w:rsidRPr="0055056D">
        <w:t xml:space="preserve">, </w:t>
      </w:r>
      <w:r w:rsidR="00114E43" w:rsidRPr="0055056D">
        <w:t>leading the</w:t>
      </w:r>
      <w:r w:rsidR="00DF6F22" w:rsidRPr="0055056D" w:rsidDel="00930DAB">
        <w:t xml:space="preserve"> </w:t>
      </w:r>
      <w:r w:rsidR="009665E4" w:rsidRPr="0055056D">
        <w:t>CJEU</w:t>
      </w:r>
      <w:r w:rsidR="00930DAB" w:rsidRPr="0055056D">
        <w:t xml:space="preserve"> </w:t>
      </w:r>
      <w:r w:rsidR="00114E43" w:rsidRPr="0055056D">
        <w:t xml:space="preserve">to </w:t>
      </w:r>
      <w:r w:rsidR="00930DAB" w:rsidRPr="0055056D">
        <w:t>found</w:t>
      </w:r>
      <w:r w:rsidR="00173F2A" w:rsidRPr="0055056D">
        <w:t xml:space="preserve"> </w:t>
      </w:r>
      <w:r w:rsidR="00114E43" w:rsidRPr="0055056D">
        <w:t>a violation of</w:t>
      </w:r>
      <w:r w:rsidR="00173F2A" w:rsidRPr="0055056D">
        <w:t xml:space="preserve"> </w:t>
      </w:r>
      <w:r w:rsidR="00930DAB" w:rsidRPr="0055056D">
        <w:t>EU law</w:t>
      </w:r>
      <w:r w:rsidR="009665E4" w:rsidRPr="0055056D" w:rsidDel="00930DAB">
        <w:t xml:space="preserve"> </w:t>
      </w:r>
      <w:r w:rsidR="00114E43" w:rsidRPr="0055056D">
        <w:t>on the grounds that</w:t>
      </w:r>
      <w:r w:rsidR="00A170A5" w:rsidRPr="0055056D">
        <w:t xml:space="preserve"> “by prematurely bringing to an end the term served by the supervisory authority for the protection of personal data, Hungary ha</w:t>
      </w:r>
      <w:r w:rsidR="00114E43" w:rsidRPr="0055056D">
        <w:t>d(</w:t>
      </w:r>
      <w:r w:rsidR="00A170A5" w:rsidRPr="0055056D">
        <w:t>s</w:t>
      </w:r>
      <w:r w:rsidR="00114E43" w:rsidRPr="0055056D">
        <w:t>)</w:t>
      </w:r>
      <w:r w:rsidR="00A170A5" w:rsidRPr="0055056D">
        <w:t xml:space="preserve"> failed to fulfil its obligations under Directive 95/46/EC”</w:t>
      </w:r>
      <w:r w:rsidR="00173F2A" w:rsidRPr="0055056D">
        <w:rPr>
          <w:rStyle w:val="Rimandonotaapidipagina"/>
        </w:rPr>
        <w:footnoteReference w:id="81"/>
      </w:r>
      <w:r w:rsidR="009665E4" w:rsidRPr="0055056D">
        <w:t>.</w:t>
      </w:r>
    </w:p>
    <w:p w14:paraId="3B26B35A" w14:textId="6A7BFD19" w:rsidR="00C55F84" w:rsidRPr="0055056D" w:rsidRDefault="0064742C" w:rsidP="00707602">
      <w:pPr>
        <w:pStyle w:val="MBT"/>
        <w:rPr>
          <w:b/>
        </w:rPr>
      </w:pPr>
      <w:r w:rsidRPr="0055056D">
        <w:t>The NAIH can conduct investigation</w:t>
      </w:r>
      <w:r w:rsidR="00494B08" w:rsidRPr="0055056D">
        <w:t xml:space="preserve">s </w:t>
      </w:r>
      <w:r w:rsidR="005C2D4F" w:rsidRPr="0055056D">
        <w:t>in its field of competence</w:t>
      </w:r>
      <w:r w:rsidR="00CE4F67" w:rsidRPr="0055056D">
        <w:t>,</w:t>
      </w:r>
      <w:r w:rsidRPr="0055056D">
        <w:t xml:space="preserve"> based on complaints or </w:t>
      </w:r>
      <w:r w:rsidR="0027644A" w:rsidRPr="0055056D">
        <w:t xml:space="preserve">data breach </w:t>
      </w:r>
      <w:r w:rsidRPr="0055056D">
        <w:t xml:space="preserve">notifications, but also </w:t>
      </w:r>
      <w:r w:rsidR="00BC5C06" w:rsidRPr="0055056D">
        <w:rPr>
          <w:i/>
          <w:iCs/>
        </w:rPr>
        <w:t>ex officio</w:t>
      </w:r>
      <w:r w:rsidR="00BC5C06" w:rsidRPr="0055056D">
        <w:t xml:space="preserve">. </w:t>
      </w:r>
      <w:r w:rsidR="00A83B18" w:rsidRPr="0055056D">
        <w:rPr>
          <w:b/>
          <w:bCs w:val="0"/>
        </w:rPr>
        <w:t xml:space="preserve">This </w:t>
      </w:r>
      <w:r w:rsidR="00480843" w:rsidRPr="0055056D">
        <w:rPr>
          <w:b/>
          <w:bCs w:val="0"/>
        </w:rPr>
        <w:t xml:space="preserve">function of the NAIH and the </w:t>
      </w:r>
      <w:r w:rsidR="00A83B18" w:rsidRPr="0055056D">
        <w:rPr>
          <w:b/>
          <w:bCs w:val="0"/>
          <w:lang w:val="hu-HU"/>
        </w:rPr>
        <w:t xml:space="preserve">procedures </w:t>
      </w:r>
      <w:r w:rsidR="00A47A21" w:rsidRPr="0055056D">
        <w:rPr>
          <w:b/>
          <w:bCs w:val="0"/>
          <w:lang w:val="hu-HU"/>
        </w:rPr>
        <w:t>related</w:t>
      </w:r>
      <w:r w:rsidR="00480843" w:rsidRPr="0055056D">
        <w:rPr>
          <w:b/>
          <w:bCs w:val="0"/>
          <w:lang w:val="hu-HU"/>
        </w:rPr>
        <w:t xml:space="preserve"> </w:t>
      </w:r>
      <w:r w:rsidR="0029765B" w:rsidRPr="0055056D">
        <w:rPr>
          <w:b/>
          <w:bCs w:val="0"/>
          <w:lang w:val="hu-HU"/>
        </w:rPr>
        <w:t>to it</w:t>
      </w:r>
      <w:r w:rsidR="00A83B18" w:rsidRPr="0055056D">
        <w:rPr>
          <w:b/>
          <w:bCs w:val="0"/>
          <w:lang w:val="hu-HU"/>
        </w:rPr>
        <w:t xml:space="preserve"> could serve as tools for </w:t>
      </w:r>
      <w:r w:rsidR="00A83B18" w:rsidRPr="0055056D">
        <w:rPr>
          <w:b/>
        </w:rPr>
        <w:t xml:space="preserve">safeguarding the rule of law against </w:t>
      </w:r>
      <w:r w:rsidR="007726A1" w:rsidRPr="0055056D">
        <w:rPr>
          <w:b/>
        </w:rPr>
        <w:t>dissenting actions</w:t>
      </w:r>
      <w:r w:rsidR="00A83B18" w:rsidRPr="0055056D">
        <w:rPr>
          <w:b/>
        </w:rPr>
        <w:t xml:space="preserve"> </w:t>
      </w:r>
      <w:r w:rsidR="003C773D" w:rsidRPr="0055056D">
        <w:rPr>
          <w:b/>
        </w:rPr>
        <w:t>misusing</w:t>
      </w:r>
      <w:r w:rsidR="00037480" w:rsidRPr="0055056D">
        <w:rPr>
          <w:b/>
        </w:rPr>
        <w:t xml:space="preserve"> </w:t>
      </w:r>
      <w:r w:rsidR="00D60ED3" w:rsidRPr="0055056D">
        <w:rPr>
          <w:b/>
        </w:rPr>
        <w:t>personal data</w:t>
      </w:r>
      <w:r w:rsidR="00A83B18" w:rsidRPr="0055056D">
        <w:rPr>
          <w:b/>
        </w:rPr>
        <w:t>.</w:t>
      </w:r>
      <w:r w:rsidR="00041FE9" w:rsidRPr="0055056D">
        <w:rPr>
          <w:b/>
        </w:rPr>
        <w:t xml:space="preserve"> </w:t>
      </w:r>
    </w:p>
    <w:p w14:paraId="1E7AC6E0" w14:textId="497DC4CF" w:rsidR="00955D93" w:rsidRPr="0055056D" w:rsidRDefault="00041FE9" w:rsidP="00955D93">
      <w:pPr>
        <w:pStyle w:val="MBT"/>
        <w:rPr>
          <w:b/>
          <w:bCs w:val="0"/>
        </w:rPr>
      </w:pPr>
      <w:r w:rsidRPr="0055056D">
        <w:t>However,</w:t>
      </w:r>
      <w:r w:rsidRPr="0055056D">
        <w:rPr>
          <w:b/>
        </w:rPr>
        <w:t xml:space="preserve"> </w:t>
      </w:r>
      <w:r w:rsidR="00690AD7" w:rsidRPr="0055056D">
        <w:rPr>
          <w:b/>
        </w:rPr>
        <w:t xml:space="preserve">the law </w:t>
      </w:r>
      <w:r w:rsidR="00FB7A1C" w:rsidRPr="0055056D">
        <w:rPr>
          <w:b/>
        </w:rPr>
        <w:t xml:space="preserve">provides for </w:t>
      </w:r>
      <w:r w:rsidR="00A17AB8" w:rsidRPr="0055056D">
        <w:rPr>
          <w:b/>
          <w:bCs w:val="0"/>
        </w:rPr>
        <w:t>extensive</w:t>
      </w:r>
      <w:r w:rsidR="00A17AB8" w:rsidRPr="0055056D">
        <w:rPr>
          <w:b/>
        </w:rPr>
        <w:t xml:space="preserve"> </w:t>
      </w:r>
      <w:r w:rsidR="00A53F2D" w:rsidRPr="0055056D">
        <w:rPr>
          <w:b/>
        </w:rPr>
        <w:t xml:space="preserve">exceptions which limit </w:t>
      </w:r>
      <w:r w:rsidR="0020497C" w:rsidRPr="0055056D">
        <w:rPr>
          <w:b/>
        </w:rPr>
        <w:t>the NAIH’s</w:t>
      </w:r>
      <w:r w:rsidR="00B84955" w:rsidRPr="0055056D">
        <w:rPr>
          <w:b/>
        </w:rPr>
        <w:t xml:space="preserve"> abilit</w:t>
      </w:r>
      <w:r w:rsidR="00B84955" w:rsidRPr="0055056D">
        <w:rPr>
          <w:b/>
          <w:bCs w:val="0"/>
        </w:rPr>
        <w:t>y to access data for its investigations</w:t>
      </w:r>
      <w:r w:rsidR="00955D93" w:rsidRPr="0055056D">
        <w:rPr>
          <w:b/>
          <w:bCs w:val="0"/>
        </w:rPr>
        <w:t>.</w:t>
      </w:r>
      <w:r w:rsidR="00B67284" w:rsidRPr="0055056D">
        <w:rPr>
          <w:b/>
          <w:bCs w:val="0"/>
        </w:rPr>
        <w:t xml:space="preserve"> </w:t>
      </w:r>
      <w:r w:rsidR="007C6B9B" w:rsidRPr="0055056D">
        <w:t>T</w:t>
      </w:r>
      <w:r w:rsidR="00955D93" w:rsidRPr="0055056D">
        <w:t xml:space="preserve">he NAIH is subject to almost the same limitation as the CFR (based on Article 23 of the Act on the </w:t>
      </w:r>
      <w:r w:rsidR="001D4952" w:rsidRPr="0055056D">
        <w:t>CFR</w:t>
      </w:r>
      <w:r w:rsidR="00955D93" w:rsidRPr="0055056D">
        <w:t xml:space="preserve"> described above</w:t>
      </w:r>
      <w:r w:rsidR="00955D93" w:rsidRPr="0055056D">
        <w:rPr>
          <w:rFonts w:ascii="Times New Roman" w:eastAsia="Calibri" w:hAnsi="Times New Roman"/>
          <w:bCs w:val="0"/>
          <w:color w:val="000000" w:themeColor="text1"/>
          <w:lang w:eastAsia="en-US" w:bidi="en-US"/>
        </w:rPr>
        <w:t xml:space="preserve"> </w:t>
      </w:r>
      <w:r w:rsidR="00955D93" w:rsidRPr="0055056D">
        <w:t>and Article 71 of the Information Act</w:t>
      </w:r>
      <w:r w:rsidR="00955D93" w:rsidRPr="0055056D">
        <w:rPr>
          <w:vertAlign w:val="superscript"/>
        </w:rPr>
        <w:footnoteReference w:id="82"/>
      </w:r>
      <w:r w:rsidR="00955D93" w:rsidRPr="0055056D">
        <w:t xml:space="preserve">) in relation to </w:t>
      </w:r>
      <w:r w:rsidR="00F607EF" w:rsidRPr="0055056D">
        <w:t xml:space="preserve">a list of </w:t>
      </w:r>
      <w:r w:rsidR="00955D93" w:rsidRPr="0055056D">
        <w:t xml:space="preserve">state institutions. The European Court of Human Rights in its judgment of September 2022 in </w:t>
      </w:r>
      <w:proofErr w:type="spellStart"/>
      <w:r w:rsidR="00955D93" w:rsidRPr="0055056D">
        <w:rPr>
          <w:i/>
          <w:iCs/>
        </w:rPr>
        <w:t>Hüttl</w:t>
      </w:r>
      <w:proofErr w:type="spellEnd"/>
      <w:r w:rsidR="00955D93" w:rsidRPr="0055056D">
        <w:rPr>
          <w:i/>
          <w:iCs/>
        </w:rPr>
        <w:t xml:space="preserve"> v. Hungary</w:t>
      </w:r>
      <w:r w:rsidR="00955D93" w:rsidRPr="0055056D">
        <w:t xml:space="preserve"> found that </w:t>
      </w:r>
      <w:r w:rsidR="00955D93" w:rsidRPr="0055056D" w:rsidDel="0022634E">
        <w:t xml:space="preserve">the </w:t>
      </w:r>
      <w:r w:rsidR="0022634E" w:rsidRPr="0055056D">
        <w:t xml:space="preserve">above </w:t>
      </w:r>
      <w:r w:rsidR="00955D93" w:rsidRPr="0055056D">
        <w:t>exceptions</w:t>
      </w:r>
      <w:r w:rsidR="00955D93" w:rsidRPr="0055056D" w:rsidDel="0022634E">
        <w:t xml:space="preserve"> </w:t>
      </w:r>
      <w:r w:rsidR="00955D93" w:rsidRPr="0055056D">
        <w:t>raise concerns, as “</w:t>
      </w:r>
      <w:r w:rsidR="00955D93" w:rsidRPr="0055056D">
        <w:rPr>
          <w:i/>
        </w:rPr>
        <w:t>it does not allow for the legal scrutiny of certain instances of data-processing by an external and independent body. This is so because the DPA cannot find out, of its own volition, the contents of the documents and data in question. Instead, it must rely on information obtained from the minister overseeing the activity, who will communicate their views on the matter – while potentially having a direct interest in maintaining the secrecy of the data concerned</w:t>
      </w:r>
      <w:r w:rsidR="00955D93" w:rsidRPr="0055056D">
        <w:t>”</w:t>
      </w:r>
      <w:r w:rsidR="00955D93" w:rsidRPr="0055056D">
        <w:rPr>
          <w:vertAlign w:val="superscript"/>
        </w:rPr>
        <w:footnoteReference w:id="83"/>
      </w:r>
      <w:r w:rsidR="00955D93" w:rsidRPr="0055056D">
        <w:t>.</w:t>
      </w:r>
    </w:p>
    <w:p w14:paraId="726865FA" w14:textId="6AF6C00F" w:rsidR="002919E1" w:rsidRPr="0055056D" w:rsidRDefault="00F41E71" w:rsidP="009665E4">
      <w:pPr>
        <w:pStyle w:val="MBT"/>
        <w:rPr>
          <w:lang w:val="en-IE"/>
        </w:rPr>
      </w:pPr>
      <w:r w:rsidRPr="0055056D">
        <w:t>In</w:t>
      </w:r>
      <w:r w:rsidR="000779A4" w:rsidRPr="0055056D" w:rsidDel="00840AD3">
        <w:t xml:space="preserve"> </w:t>
      </w:r>
      <w:r w:rsidR="00840AD3" w:rsidRPr="0055056D">
        <w:t>the most serious wiretapping scandal in recent years</w:t>
      </w:r>
      <w:r w:rsidR="007C2A1A" w:rsidRPr="0055056D">
        <w:t>, in 2021</w:t>
      </w:r>
      <w:r w:rsidR="00840AD3" w:rsidRPr="0055056D">
        <w:t xml:space="preserve"> </w:t>
      </w:r>
      <w:r w:rsidR="00AF1B87" w:rsidRPr="0055056D">
        <w:t xml:space="preserve">investigative journalists uncovered </w:t>
      </w:r>
      <w:r w:rsidR="00840AD3" w:rsidRPr="0055056D">
        <w:t>that hundreds of journalists, businessmen and lawyers in several countries may have had the Pegasus spy software installed on their mobile phones.</w:t>
      </w:r>
      <w:r w:rsidR="00105F94" w:rsidRPr="0055056D">
        <w:t xml:space="preserve"> </w:t>
      </w:r>
      <w:r w:rsidR="00D13B62" w:rsidRPr="0055056D">
        <w:t xml:space="preserve">In Hungary, </w:t>
      </w:r>
      <w:r w:rsidR="00AE5211" w:rsidRPr="0055056D">
        <w:t>t</w:t>
      </w:r>
      <w:r w:rsidR="00DA6802" w:rsidRPr="0055056D">
        <w:t xml:space="preserve">he scandal affected </w:t>
      </w:r>
      <w:r w:rsidR="00170BB3" w:rsidRPr="0055056D">
        <w:t xml:space="preserve">over 300 </w:t>
      </w:r>
      <w:r w:rsidR="008B2BD7" w:rsidRPr="0055056D">
        <w:t xml:space="preserve">prominent opposition </w:t>
      </w:r>
      <w:r w:rsidR="00AE5211" w:rsidRPr="0055056D">
        <w:t>politicians</w:t>
      </w:r>
      <w:r w:rsidR="00B41B23" w:rsidRPr="0055056D">
        <w:t>, civil society</w:t>
      </w:r>
      <w:r w:rsidR="00AE5211" w:rsidRPr="0055056D">
        <w:t xml:space="preserve"> critical of the government as well as journalists.</w:t>
      </w:r>
      <w:r w:rsidR="00B41B23" w:rsidRPr="0055056D">
        <w:t xml:space="preserve"> </w:t>
      </w:r>
      <w:r w:rsidR="00AE5211" w:rsidRPr="0055056D">
        <w:t>T</w:t>
      </w:r>
      <w:r w:rsidRPr="0055056D">
        <w:t xml:space="preserve">he NAIH initiated an </w:t>
      </w:r>
      <w:r w:rsidRPr="0055056D">
        <w:rPr>
          <w:i/>
          <w:iCs/>
        </w:rPr>
        <w:t>ex officio</w:t>
      </w:r>
      <w:r w:rsidRPr="0055056D">
        <w:t xml:space="preserve"> investigation on the use of</w:t>
      </w:r>
      <w:r w:rsidR="005E7EA1" w:rsidRPr="0055056D">
        <w:t xml:space="preserve"> the</w:t>
      </w:r>
      <w:r w:rsidRPr="0055056D">
        <w:t xml:space="preserve"> Pegasus spyware in Hungary, as media </w:t>
      </w:r>
      <w:r w:rsidRPr="0055056D">
        <w:lastRenderedPageBreak/>
        <w:t>information indicated a possible violation of data protection laws</w:t>
      </w:r>
      <w:r w:rsidRPr="0055056D">
        <w:rPr>
          <w:vertAlign w:val="superscript"/>
        </w:rPr>
        <w:footnoteReference w:id="84"/>
      </w:r>
      <w:r w:rsidRPr="0055056D">
        <w:t xml:space="preserve">. </w:t>
      </w:r>
      <w:r w:rsidR="00F84940" w:rsidRPr="0055056D">
        <w:t>The NAIH in its</w:t>
      </w:r>
      <w:r w:rsidRPr="0055056D">
        <w:t xml:space="preserve"> report </w:t>
      </w:r>
      <w:r w:rsidR="00F84940" w:rsidRPr="0055056D">
        <w:t>specifically referred to its limited ability to access information</w:t>
      </w:r>
      <w:r w:rsidR="00F84940" w:rsidRPr="0055056D">
        <w:rPr>
          <w:vertAlign w:val="superscript"/>
        </w:rPr>
        <w:footnoteReference w:id="85"/>
      </w:r>
      <w:r w:rsidR="007F3532" w:rsidRPr="0055056D">
        <w:t>, and concluded i</w:t>
      </w:r>
      <w:r w:rsidR="00B30890" w:rsidRPr="0055056D">
        <w:t xml:space="preserve">n a very formalistic </w:t>
      </w:r>
      <w:r w:rsidR="009C34A4" w:rsidRPr="0055056D">
        <w:t>manner</w:t>
      </w:r>
      <w:r w:rsidRPr="0055056D">
        <w:t xml:space="preserve"> that during “</w:t>
      </w:r>
      <w:r w:rsidRPr="0055056D">
        <w:rPr>
          <w:i/>
        </w:rPr>
        <w:t>the Authority’s investigation, no information was found that the bodies authorised to covertly gather information subject to external authorisation […] would have used the spyware for any purpose other than those specified by the manufacturer (prevention and detection of criminal acts and acts of terrorism), and the discharge of the duties specified by law</w:t>
      </w:r>
      <w:r w:rsidRPr="0055056D">
        <w:t>”</w:t>
      </w:r>
      <w:r w:rsidRPr="0055056D">
        <w:rPr>
          <w:vertAlign w:val="superscript"/>
        </w:rPr>
        <w:footnoteReference w:id="86"/>
      </w:r>
      <w:r w:rsidR="005D107E" w:rsidRPr="0055056D">
        <w:t>.</w:t>
      </w:r>
      <w:r w:rsidRPr="0055056D">
        <w:t xml:space="preserve"> </w:t>
      </w:r>
      <w:r w:rsidR="009337E9" w:rsidRPr="0055056D">
        <w:t xml:space="preserve">The evasive approach of the NAIH, the lack of </w:t>
      </w:r>
      <w:r w:rsidR="0058312B" w:rsidRPr="0055056D">
        <w:t xml:space="preserve">either </w:t>
      </w:r>
      <w:r w:rsidR="0058312B" w:rsidRPr="0055056D">
        <w:rPr>
          <w:i/>
        </w:rPr>
        <w:t xml:space="preserve">de </w:t>
      </w:r>
      <w:proofErr w:type="spellStart"/>
      <w:r w:rsidR="0058312B" w:rsidRPr="0055056D">
        <w:rPr>
          <w:i/>
        </w:rPr>
        <w:t>lege</w:t>
      </w:r>
      <w:proofErr w:type="spellEnd"/>
      <w:r w:rsidR="0058312B" w:rsidRPr="0055056D">
        <w:t xml:space="preserve"> or </w:t>
      </w:r>
      <w:r w:rsidR="0058312B" w:rsidRPr="0055056D">
        <w:rPr>
          <w:i/>
        </w:rPr>
        <w:t>de facto</w:t>
      </w:r>
      <w:r w:rsidR="0058312B" w:rsidRPr="0055056D">
        <w:t xml:space="preserve"> remedy and/or protection provided to the </w:t>
      </w:r>
      <w:r w:rsidR="00AB38A4" w:rsidRPr="0055056D">
        <w:t>individuals</w:t>
      </w:r>
      <w:r w:rsidR="0058312B" w:rsidRPr="0055056D">
        <w:t xml:space="preserve"> under surveillance</w:t>
      </w:r>
      <w:r w:rsidR="00AB38A4" w:rsidRPr="0055056D">
        <w:t xml:space="preserve">, </w:t>
      </w:r>
      <w:r w:rsidR="008A7E01" w:rsidRPr="0055056D">
        <w:t>some</w:t>
      </w:r>
      <w:r w:rsidR="00AB38A4" w:rsidRPr="0055056D">
        <w:t xml:space="preserve"> of whom </w:t>
      </w:r>
      <w:r w:rsidR="008A7E01" w:rsidRPr="0055056D">
        <w:t>filed lawsuits against</w:t>
      </w:r>
      <w:r w:rsidR="005A69C1" w:rsidRPr="0055056D">
        <w:t xml:space="preserve"> the state</w:t>
      </w:r>
      <w:r w:rsidR="005A69C1" w:rsidRPr="0055056D">
        <w:rPr>
          <w:rStyle w:val="Rimandonotaapidipagina"/>
        </w:rPr>
        <w:footnoteReference w:id="87"/>
      </w:r>
      <w:r w:rsidR="005A69C1" w:rsidRPr="0055056D">
        <w:t>,</w:t>
      </w:r>
      <w:r w:rsidR="0058312B" w:rsidRPr="0055056D">
        <w:t xml:space="preserve"> </w:t>
      </w:r>
      <w:r w:rsidR="00FA6519" w:rsidRPr="0055056D">
        <w:t xml:space="preserve">are </w:t>
      </w:r>
      <w:r w:rsidR="008B602E" w:rsidRPr="0055056D">
        <w:t>yet another example of how</w:t>
      </w:r>
      <w:r w:rsidR="0027774B" w:rsidRPr="0055056D">
        <w:t xml:space="preserve"> the rules </w:t>
      </w:r>
      <w:r w:rsidR="008F2A56" w:rsidRPr="0055056D">
        <w:t xml:space="preserve">of secret information gathering </w:t>
      </w:r>
      <w:proofErr w:type="gramStart"/>
      <w:r w:rsidR="008F2A56" w:rsidRPr="0055056D">
        <w:t>are</w:t>
      </w:r>
      <w:proofErr w:type="gramEnd"/>
      <w:r w:rsidR="008F2A56" w:rsidRPr="0055056D">
        <w:t xml:space="preserve"> </w:t>
      </w:r>
      <w:r w:rsidR="00DB6405" w:rsidRPr="0055056D">
        <w:t xml:space="preserve">too </w:t>
      </w:r>
      <w:r w:rsidR="008F2A56" w:rsidRPr="0055056D">
        <w:t>loose</w:t>
      </w:r>
      <w:r w:rsidR="002E4452" w:rsidRPr="0055056D">
        <w:t xml:space="preserve"> in Hungary</w:t>
      </w:r>
      <w:r w:rsidR="00F0459E" w:rsidRPr="0055056D">
        <w:t xml:space="preserve">, allowing for </w:t>
      </w:r>
      <w:r w:rsidR="006C1BC1" w:rsidRPr="0055056D">
        <w:t>secret surveillance of citizens, including lawyers</w:t>
      </w:r>
      <w:r w:rsidR="009C310D" w:rsidRPr="0055056D">
        <w:t xml:space="preserve"> and journalists</w:t>
      </w:r>
      <w:r w:rsidR="00BE5D53" w:rsidRPr="0055056D">
        <w:t>, on grounds of national security, without effective judicial supervision</w:t>
      </w:r>
      <w:r w:rsidR="009C6787" w:rsidRPr="0055056D">
        <w:rPr>
          <w:rStyle w:val="Rimandonotaapidipagina"/>
        </w:rPr>
        <w:footnoteReference w:id="88"/>
      </w:r>
      <w:r w:rsidR="00707602" w:rsidRPr="0055056D">
        <w:t>.</w:t>
      </w:r>
    </w:p>
    <w:p w14:paraId="0BD07890" w14:textId="77777777" w:rsidR="0017068F" w:rsidRPr="0055056D" w:rsidRDefault="0017068F" w:rsidP="008035F4">
      <w:pPr>
        <w:pStyle w:val="MBT"/>
        <w:rPr>
          <w:lang w:eastAsia="ar-SA"/>
        </w:rPr>
      </w:pPr>
    </w:p>
    <w:p w14:paraId="222E4B0B" w14:textId="74DAED78" w:rsidR="008969CF" w:rsidRPr="0055056D" w:rsidRDefault="008969CF" w:rsidP="008969CF">
      <w:pPr>
        <w:pStyle w:val="MH2"/>
        <w:rPr>
          <w:lang w:val="en-US"/>
        </w:rPr>
      </w:pPr>
      <w:r w:rsidRPr="0055056D">
        <w:t>Protection of Judicial Independence</w:t>
      </w:r>
      <w:r w:rsidRPr="0055056D">
        <w:rPr>
          <w:lang w:val="en-US"/>
        </w:rPr>
        <w:t xml:space="preserve"> </w:t>
      </w:r>
    </w:p>
    <w:p w14:paraId="18D67E06" w14:textId="290099E9" w:rsidR="00A62946" w:rsidRPr="0055056D" w:rsidRDefault="008A230D" w:rsidP="004C7114">
      <w:pPr>
        <w:pStyle w:val="MBT"/>
      </w:pPr>
      <w:r w:rsidRPr="0055056D">
        <w:t xml:space="preserve">Pursuant to </w:t>
      </w:r>
      <w:r w:rsidR="00A62946" w:rsidRPr="0055056D">
        <w:t xml:space="preserve">Article C)(1) </w:t>
      </w:r>
      <w:r w:rsidRPr="0055056D">
        <w:t>of the Fundamental Law, t</w:t>
      </w:r>
      <w:r w:rsidR="00A62946" w:rsidRPr="0055056D">
        <w:t xml:space="preserve">he functioning of the Hungarian State </w:t>
      </w:r>
      <w:r w:rsidR="00D335C9" w:rsidRPr="0055056D">
        <w:t>is</w:t>
      </w:r>
      <w:r w:rsidR="00A62946" w:rsidRPr="0055056D">
        <w:t xml:space="preserve"> based on the principle of the division of powers.</w:t>
      </w:r>
      <w:r w:rsidR="0031286E" w:rsidRPr="0055056D">
        <w:t xml:space="preserve"> The administration of justice </w:t>
      </w:r>
      <w:r w:rsidR="00F4110C" w:rsidRPr="0055056D">
        <w:t>belongs to the</w:t>
      </w:r>
      <w:r w:rsidR="0031286E" w:rsidRPr="0055056D">
        <w:t xml:space="preserve"> </w:t>
      </w:r>
      <w:r w:rsidR="00487A7C" w:rsidRPr="0055056D">
        <w:t>courts</w:t>
      </w:r>
      <w:r w:rsidR="00C546A0" w:rsidRPr="0055056D">
        <w:t>, which are organised at multiple levels</w:t>
      </w:r>
      <w:r w:rsidR="00767478" w:rsidRPr="0055056D">
        <w:t xml:space="preserve">, </w:t>
      </w:r>
      <w:r w:rsidR="003034D5" w:rsidRPr="0055056D">
        <w:t xml:space="preserve">in a four-tier hierarchy: </w:t>
      </w:r>
      <w:r w:rsidR="00E2638D" w:rsidRPr="0055056D">
        <w:t xml:space="preserve">there are 113 </w:t>
      </w:r>
      <w:r w:rsidR="003034D5" w:rsidRPr="0055056D">
        <w:t xml:space="preserve">district courts, </w:t>
      </w:r>
      <w:r w:rsidR="00CA1AA8" w:rsidRPr="0055056D">
        <w:t xml:space="preserve">20 </w:t>
      </w:r>
      <w:r w:rsidR="003034D5" w:rsidRPr="0055056D">
        <w:t>regional courts</w:t>
      </w:r>
      <w:r w:rsidR="00E24AEF" w:rsidRPr="0055056D">
        <w:t xml:space="preserve"> (tribunals)</w:t>
      </w:r>
      <w:r w:rsidR="003034D5" w:rsidRPr="0055056D">
        <w:t xml:space="preserve">, </w:t>
      </w:r>
      <w:r w:rsidR="00CA1AA8" w:rsidRPr="0055056D">
        <w:t xml:space="preserve">five </w:t>
      </w:r>
      <w:r w:rsidR="003034D5" w:rsidRPr="0055056D">
        <w:t>regional courts of appeal and the Curia</w:t>
      </w:r>
      <w:r w:rsidR="00EC3A47" w:rsidRPr="0055056D">
        <w:t>, which is the supreme judicial organ</w:t>
      </w:r>
      <w:r w:rsidR="00FE0A48" w:rsidRPr="0055056D">
        <w:rPr>
          <w:rStyle w:val="Rimandonotaapidipagina"/>
        </w:rPr>
        <w:footnoteReference w:id="89"/>
      </w:r>
      <w:r w:rsidR="003034D5" w:rsidRPr="0055056D">
        <w:t>.</w:t>
      </w:r>
      <w:r w:rsidR="00E6068D" w:rsidRPr="0055056D">
        <w:t xml:space="preserve"> </w:t>
      </w:r>
      <w:r w:rsidR="00F12386" w:rsidRPr="0055056D">
        <w:rPr>
          <w:bCs w:val="0"/>
        </w:rPr>
        <w:t xml:space="preserve">The Constitutional Court is not part of this ordinary court system. </w:t>
      </w:r>
      <w:r w:rsidR="00E6068D" w:rsidRPr="0055056D">
        <w:t>However, t</w:t>
      </w:r>
      <w:r w:rsidR="00BA3039" w:rsidRPr="0055056D">
        <w:t xml:space="preserve">he </w:t>
      </w:r>
      <w:r w:rsidR="006C1B55" w:rsidRPr="0055056D">
        <w:t>hierarchical</w:t>
      </w:r>
      <w:r w:rsidR="00BA3039" w:rsidRPr="0055056D">
        <w:t xml:space="preserve"> organisation does not mean that </w:t>
      </w:r>
      <w:r w:rsidR="006C1B55" w:rsidRPr="0055056D">
        <w:t xml:space="preserve">lower courts are subordinated to the higher ones. </w:t>
      </w:r>
      <w:r w:rsidR="00462E24" w:rsidRPr="0055056D">
        <w:t xml:space="preserve">According to the </w:t>
      </w:r>
      <w:r w:rsidR="00C870E0" w:rsidRPr="0055056D">
        <w:t>Fundamental Law</w:t>
      </w:r>
      <w:r w:rsidR="00462E24" w:rsidRPr="0055056D">
        <w:t xml:space="preserve"> and </w:t>
      </w:r>
      <w:r w:rsidR="00132DD6" w:rsidRPr="0055056D">
        <w:t xml:space="preserve">the </w:t>
      </w:r>
      <w:r w:rsidR="00C36DB6" w:rsidRPr="0055056D">
        <w:t>Courts Administration</w:t>
      </w:r>
      <w:r w:rsidR="00462E24" w:rsidRPr="0055056D">
        <w:t xml:space="preserve"> </w:t>
      </w:r>
      <w:r w:rsidR="009033AF" w:rsidRPr="0055056D">
        <w:t>Act</w:t>
      </w:r>
      <w:r w:rsidR="001016E3" w:rsidRPr="0055056D">
        <w:rPr>
          <w:rStyle w:val="Rimandonotaapidipagina"/>
        </w:rPr>
        <w:footnoteReference w:id="90"/>
      </w:r>
      <w:r w:rsidR="00E93780" w:rsidRPr="0055056D">
        <w:t xml:space="preserve">, judges are independent </w:t>
      </w:r>
      <w:r w:rsidR="002B3816" w:rsidRPr="0055056D">
        <w:t>and subordinated only to the law</w:t>
      </w:r>
      <w:r w:rsidR="00571A1C" w:rsidRPr="0055056D">
        <w:t xml:space="preserve"> and they may not be influenced or instructed in relation to their activities in the administration of justice.</w:t>
      </w:r>
      <w:r w:rsidR="00A57DA4" w:rsidRPr="0055056D">
        <w:t xml:space="preserve"> The Fundamental Law also specifies that judges may not be members of political parties or engage in political activities</w:t>
      </w:r>
      <w:r w:rsidR="00C546A0" w:rsidRPr="0055056D" w:rsidDel="00767478">
        <w:t>.</w:t>
      </w:r>
    </w:p>
    <w:p w14:paraId="44286C61" w14:textId="1BDE8531" w:rsidR="00DF113F" w:rsidRPr="0055056D" w:rsidRDefault="00460D9D" w:rsidP="004C7114">
      <w:pPr>
        <w:pStyle w:val="MBT"/>
      </w:pPr>
      <w:r w:rsidRPr="0055056D">
        <w:t xml:space="preserve">The rule of law guarantee of judicial independence and its accompanying </w:t>
      </w:r>
      <w:r w:rsidR="00EB1541" w:rsidRPr="0055056D">
        <w:t>C</w:t>
      </w:r>
      <w:r w:rsidRPr="0055056D">
        <w:t xml:space="preserve">onstitutional safeguards </w:t>
      </w:r>
      <w:r w:rsidR="00D06A74" w:rsidRPr="0055056D">
        <w:t xml:space="preserve">implemented via a territorially and competence-wise </w:t>
      </w:r>
      <w:r w:rsidR="00073D46" w:rsidRPr="0055056D">
        <w:t xml:space="preserve">decentralised judicial apparatus </w:t>
      </w:r>
      <w:r w:rsidR="006C6B26" w:rsidRPr="0055056D">
        <w:t xml:space="preserve">has been </w:t>
      </w:r>
      <w:r w:rsidR="00586D90" w:rsidRPr="0055056D">
        <w:t xml:space="preserve">challenged by the </w:t>
      </w:r>
      <w:r w:rsidR="00586D90" w:rsidRPr="0055056D">
        <w:rPr>
          <w:b/>
        </w:rPr>
        <w:t xml:space="preserve">new </w:t>
      </w:r>
      <w:r w:rsidR="00073D46" w:rsidRPr="0055056D">
        <w:rPr>
          <w:b/>
        </w:rPr>
        <w:t>uniformity complaint procedure</w:t>
      </w:r>
      <w:r w:rsidR="00073D46" w:rsidRPr="0055056D">
        <w:t xml:space="preserve"> that was introduced on 1 April 2020. </w:t>
      </w:r>
      <w:r w:rsidR="008B0647" w:rsidRPr="0055056D">
        <w:t>The procedure</w:t>
      </w:r>
      <w:r w:rsidR="00073D46" w:rsidRPr="0055056D">
        <w:t xml:space="preserve"> can be initiated before the Curia in case a final and binding court decision differs from judgments </w:t>
      </w:r>
      <w:r w:rsidR="001C3639" w:rsidRPr="0055056D">
        <w:t>previously</w:t>
      </w:r>
      <w:r w:rsidR="00B75083" w:rsidRPr="0055056D">
        <w:t xml:space="preserve"> </w:t>
      </w:r>
      <w:r w:rsidR="00073D46" w:rsidRPr="0055056D">
        <w:t>published by the Curia.</w:t>
      </w:r>
      <w:r w:rsidR="0091052E" w:rsidRPr="0055056D">
        <w:t xml:space="preserve"> While the Curia has long held the role </w:t>
      </w:r>
      <w:r w:rsidR="00E432FA" w:rsidRPr="0055056D">
        <w:t>of</w:t>
      </w:r>
      <w:r w:rsidR="0091052E" w:rsidRPr="0055056D">
        <w:t xml:space="preserve"> guarantee</w:t>
      </w:r>
      <w:r w:rsidR="00E432FA" w:rsidRPr="0055056D">
        <w:t>ing</w:t>
      </w:r>
      <w:r w:rsidR="0091052E" w:rsidRPr="0055056D">
        <w:t xml:space="preserve"> the uniform application of the law and to that end it has </w:t>
      </w:r>
      <w:r w:rsidR="0091052E" w:rsidRPr="0055056D">
        <w:rPr>
          <w:bCs w:val="0"/>
        </w:rPr>
        <w:t>adopted uniformity decisions (</w:t>
      </w:r>
      <w:proofErr w:type="spellStart"/>
      <w:r w:rsidR="0091052E" w:rsidRPr="0055056D">
        <w:rPr>
          <w:i/>
        </w:rPr>
        <w:t>jogegységi</w:t>
      </w:r>
      <w:proofErr w:type="spellEnd"/>
      <w:r w:rsidR="0091052E" w:rsidRPr="0055056D">
        <w:rPr>
          <w:i/>
        </w:rPr>
        <w:t xml:space="preserve"> </w:t>
      </w:r>
      <w:proofErr w:type="spellStart"/>
      <w:r w:rsidR="0091052E" w:rsidRPr="0055056D">
        <w:rPr>
          <w:i/>
        </w:rPr>
        <w:t>határozat</w:t>
      </w:r>
      <w:proofErr w:type="spellEnd"/>
      <w:r w:rsidR="0091052E" w:rsidRPr="0055056D">
        <w:rPr>
          <w:bCs w:val="0"/>
        </w:rPr>
        <w:t>) that have been binding on courts</w:t>
      </w:r>
      <w:r w:rsidR="0091052E" w:rsidRPr="0055056D">
        <w:t>, on the basis of the new procedure</w:t>
      </w:r>
      <w:r w:rsidR="00B549B7" w:rsidRPr="0055056D">
        <w:t>,</w:t>
      </w:r>
      <w:r w:rsidR="0091052E" w:rsidRPr="0055056D">
        <w:t xml:space="preserve"> the </w:t>
      </w:r>
      <w:r w:rsidR="0086130D" w:rsidRPr="0055056D">
        <w:t xml:space="preserve">uniformity complaint panel of the </w:t>
      </w:r>
      <w:r w:rsidR="00073D46" w:rsidRPr="0055056D">
        <w:t xml:space="preserve">Curia can </w:t>
      </w:r>
      <w:r w:rsidR="0091052E" w:rsidRPr="0055056D">
        <w:t xml:space="preserve">simply </w:t>
      </w:r>
      <w:r w:rsidR="00073D46" w:rsidRPr="0055056D">
        <w:t>annul final and binding judgments of other courts</w:t>
      </w:r>
      <w:r w:rsidR="0091052E" w:rsidRPr="0055056D">
        <w:t xml:space="preserve"> </w:t>
      </w:r>
      <w:r w:rsidR="00066337" w:rsidRPr="0055056D">
        <w:t xml:space="preserve">and of other panels of the Curia </w:t>
      </w:r>
      <w:r w:rsidR="0091052E" w:rsidRPr="0055056D">
        <w:t>should it deem th</w:t>
      </w:r>
      <w:r w:rsidR="00364C8D" w:rsidRPr="0055056D">
        <w:t xml:space="preserve">at the ruling diverted from </w:t>
      </w:r>
      <w:r w:rsidR="00D8043D" w:rsidRPr="0055056D">
        <w:t>published jurisprudence</w:t>
      </w:r>
      <w:r w:rsidR="00CE31E9" w:rsidRPr="0055056D">
        <w:t xml:space="preserve"> of the Curia</w:t>
      </w:r>
      <w:r w:rsidR="00B13560" w:rsidRPr="0055056D">
        <w:rPr>
          <w:rStyle w:val="Rimandonotaapidipagina"/>
          <w:bCs w:val="0"/>
        </w:rPr>
        <w:footnoteReference w:id="91"/>
      </w:r>
      <w:r w:rsidR="00626F92" w:rsidRPr="0055056D">
        <w:t>.</w:t>
      </w:r>
    </w:p>
    <w:p w14:paraId="17772CC5" w14:textId="66D05188" w:rsidR="005E4087" w:rsidRPr="0055056D" w:rsidRDefault="00807201" w:rsidP="0011589B">
      <w:pPr>
        <w:pStyle w:val="MBT"/>
        <w:rPr>
          <w:lang w:val="en-US" w:eastAsia="ar-SA"/>
        </w:rPr>
      </w:pPr>
      <w:r w:rsidRPr="0055056D">
        <w:rPr>
          <w:lang w:eastAsia="ar-SA"/>
        </w:rPr>
        <w:t xml:space="preserve">The Fundamental Law </w:t>
      </w:r>
      <w:r w:rsidR="00C777B0" w:rsidRPr="0055056D">
        <w:rPr>
          <w:lang w:eastAsia="ar-SA"/>
        </w:rPr>
        <w:t xml:space="preserve">assigns the central responsibility </w:t>
      </w:r>
      <w:r w:rsidR="00C93C0E" w:rsidRPr="0055056D">
        <w:rPr>
          <w:lang w:eastAsia="ar-SA"/>
        </w:rPr>
        <w:t>of</w:t>
      </w:r>
      <w:r w:rsidR="00D53B44" w:rsidRPr="0055056D">
        <w:rPr>
          <w:lang w:eastAsia="ar-SA"/>
        </w:rPr>
        <w:t xml:space="preserve"> administration of courts </w:t>
      </w:r>
      <w:r w:rsidR="005745FF" w:rsidRPr="0055056D">
        <w:rPr>
          <w:lang w:eastAsia="ar-SA"/>
        </w:rPr>
        <w:t>to</w:t>
      </w:r>
      <w:r w:rsidR="00D53B44" w:rsidRPr="0055056D">
        <w:rPr>
          <w:lang w:eastAsia="ar-SA"/>
        </w:rPr>
        <w:t xml:space="preserve"> the President of the National Office for the Judiciary</w:t>
      </w:r>
      <w:r w:rsidR="008F2BD2" w:rsidRPr="0055056D">
        <w:rPr>
          <w:lang w:eastAsia="ar-SA"/>
        </w:rPr>
        <w:t xml:space="preserve"> (N</w:t>
      </w:r>
      <w:r w:rsidR="005745FF" w:rsidRPr="0055056D">
        <w:rPr>
          <w:lang w:eastAsia="ar-SA"/>
        </w:rPr>
        <w:t>O</w:t>
      </w:r>
      <w:r w:rsidR="008F2BD2" w:rsidRPr="0055056D">
        <w:rPr>
          <w:lang w:eastAsia="ar-SA"/>
        </w:rPr>
        <w:t>J)</w:t>
      </w:r>
      <w:r w:rsidR="00A653E7" w:rsidRPr="0055056D">
        <w:rPr>
          <w:lang w:eastAsia="ar-SA"/>
        </w:rPr>
        <w:t xml:space="preserve">, </w:t>
      </w:r>
      <w:r w:rsidR="007A72EF" w:rsidRPr="0055056D">
        <w:rPr>
          <w:lang w:eastAsia="ar-SA"/>
        </w:rPr>
        <w:t>supervised by t</w:t>
      </w:r>
      <w:r w:rsidR="00D53B44" w:rsidRPr="0055056D">
        <w:rPr>
          <w:lang w:eastAsia="ar-SA"/>
        </w:rPr>
        <w:t>he National Judicial Council</w:t>
      </w:r>
      <w:r w:rsidR="00025F6E" w:rsidRPr="0055056D">
        <w:rPr>
          <w:lang w:eastAsia="ar-SA"/>
        </w:rPr>
        <w:t xml:space="preserve"> (NJC)</w:t>
      </w:r>
      <w:r w:rsidR="00D53B44" w:rsidRPr="0055056D">
        <w:rPr>
          <w:lang w:eastAsia="ar-SA"/>
        </w:rPr>
        <w:t xml:space="preserve">. The </w:t>
      </w:r>
      <w:r w:rsidR="00D53B44" w:rsidRPr="0055056D">
        <w:rPr>
          <w:lang w:eastAsia="ar-SA"/>
        </w:rPr>
        <w:lastRenderedPageBreak/>
        <w:t xml:space="preserve">National Judicial Council and other bodies of judicial self-government </w:t>
      </w:r>
      <w:r w:rsidR="00F94E19" w:rsidRPr="0055056D">
        <w:rPr>
          <w:lang w:eastAsia="ar-SA"/>
        </w:rPr>
        <w:t>also</w:t>
      </w:r>
      <w:r w:rsidR="00D53B44" w:rsidRPr="0055056D">
        <w:rPr>
          <w:lang w:eastAsia="ar-SA"/>
        </w:rPr>
        <w:t xml:space="preserve"> participate in the administration of courts</w:t>
      </w:r>
      <w:r w:rsidR="004B1406" w:rsidRPr="0055056D">
        <w:rPr>
          <w:rStyle w:val="Rimandonotaapidipagina"/>
          <w:lang w:eastAsia="ar-SA"/>
        </w:rPr>
        <w:footnoteReference w:id="92"/>
      </w:r>
      <w:r w:rsidR="00D53B44" w:rsidRPr="0055056D">
        <w:rPr>
          <w:lang w:eastAsia="ar-SA"/>
        </w:rPr>
        <w:t>.</w:t>
      </w:r>
      <w:r w:rsidR="00F95C78" w:rsidRPr="0055056D">
        <w:rPr>
          <w:lang w:eastAsia="ar-SA"/>
        </w:rPr>
        <w:t xml:space="preserve"> </w:t>
      </w:r>
      <w:r w:rsidR="00893114" w:rsidRPr="0055056D">
        <w:rPr>
          <w:lang w:eastAsia="ar-SA"/>
        </w:rPr>
        <w:t>The NJC is a judicial self-governing body</w:t>
      </w:r>
      <w:r w:rsidR="007479C6" w:rsidRPr="0055056D">
        <w:rPr>
          <w:lang w:eastAsia="ar-SA"/>
        </w:rPr>
        <w:t xml:space="preserve">, composed of 15 judges, out of which one is the president of the </w:t>
      </w:r>
      <w:proofErr w:type="gramStart"/>
      <w:r w:rsidR="007479C6" w:rsidRPr="0055056D">
        <w:rPr>
          <w:lang w:eastAsia="ar-SA"/>
        </w:rPr>
        <w:t>Curia</w:t>
      </w:r>
      <w:proofErr w:type="gramEnd"/>
      <w:r w:rsidR="007479C6" w:rsidRPr="0055056D">
        <w:rPr>
          <w:lang w:eastAsia="ar-SA"/>
        </w:rPr>
        <w:t xml:space="preserve"> and the others are </w:t>
      </w:r>
      <w:r w:rsidR="009C6131" w:rsidRPr="0055056D">
        <w:rPr>
          <w:lang w:eastAsia="ar-SA"/>
        </w:rPr>
        <w:t>elected by secret ballo</w:t>
      </w:r>
      <w:r w:rsidR="00EF6213" w:rsidRPr="0055056D">
        <w:rPr>
          <w:lang w:eastAsia="ar-SA"/>
        </w:rPr>
        <w:t xml:space="preserve">t </w:t>
      </w:r>
      <w:r w:rsidR="002B6D85" w:rsidRPr="0055056D">
        <w:rPr>
          <w:lang w:eastAsia="ar-SA"/>
        </w:rPr>
        <w:t>by the judges themselves, with the appointment of delegates</w:t>
      </w:r>
      <w:r w:rsidR="00A26D88" w:rsidRPr="0055056D">
        <w:rPr>
          <w:lang w:eastAsia="ar-SA"/>
        </w:rPr>
        <w:t>.</w:t>
      </w:r>
      <w:r w:rsidR="00893114" w:rsidRPr="0055056D">
        <w:rPr>
          <w:lang w:eastAsia="ar-SA"/>
        </w:rPr>
        <w:t xml:space="preserve"> </w:t>
      </w:r>
      <w:r w:rsidR="00AA6C9D" w:rsidRPr="0055056D">
        <w:rPr>
          <w:lang w:eastAsia="ar-SA"/>
        </w:rPr>
        <w:t xml:space="preserve">The body can bring decisions with two-thirds of </w:t>
      </w:r>
      <w:r w:rsidR="007A4E3D" w:rsidRPr="0055056D">
        <w:rPr>
          <w:lang w:eastAsia="ar-SA"/>
        </w:rPr>
        <w:t>its members</w:t>
      </w:r>
      <w:r w:rsidR="002D53B1" w:rsidRPr="0055056D">
        <w:rPr>
          <w:lang w:eastAsia="ar-SA"/>
        </w:rPr>
        <w:t xml:space="preserve"> present</w:t>
      </w:r>
      <w:r w:rsidR="00EE5F45" w:rsidRPr="0055056D">
        <w:rPr>
          <w:rStyle w:val="Rimandonotaapidipagina"/>
          <w:lang w:eastAsia="ar-SA"/>
        </w:rPr>
        <w:footnoteReference w:id="93"/>
      </w:r>
      <w:r w:rsidR="007A4E3D" w:rsidRPr="0055056D">
        <w:rPr>
          <w:lang w:eastAsia="ar-SA"/>
        </w:rPr>
        <w:t>.</w:t>
      </w:r>
      <w:r w:rsidR="00893114" w:rsidRPr="0055056D">
        <w:rPr>
          <w:lang w:eastAsia="ar-SA"/>
        </w:rPr>
        <w:t xml:space="preserve"> </w:t>
      </w:r>
      <w:r w:rsidR="00F95C78" w:rsidRPr="0055056D">
        <w:rPr>
          <w:b/>
          <w:lang w:eastAsia="ar-SA"/>
        </w:rPr>
        <w:t>This could serve as</w:t>
      </w:r>
      <w:r w:rsidR="00B30551" w:rsidRPr="0055056D">
        <w:rPr>
          <w:b/>
          <w:lang w:eastAsia="ar-SA"/>
        </w:rPr>
        <w:t xml:space="preserve"> a </w:t>
      </w:r>
      <w:r w:rsidR="005E0CE2" w:rsidRPr="0055056D">
        <w:rPr>
          <w:b/>
          <w:lang w:eastAsia="ar-SA"/>
        </w:rPr>
        <w:t>framework</w:t>
      </w:r>
      <w:r w:rsidR="00B30551" w:rsidRPr="0055056D">
        <w:rPr>
          <w:b/>
          <w:lang w:eastAsia="ar-SA"/>
        </w:rPr>
        <w:t xml:space="preserve"> for checks and balances in the administration of courts</w:t>
      </w:r>
      <w:r w:rsidR="00531939" w:rsidRPr="0055056D">
        <w:rPr>
          <w:b/>
          <w:lang w:eastAsia="ar-SA"/>
        </w:rPr>
        <w:t xml:space="preserve"> and judicial independence</w:t>
      </w:r>
      <w:r w:rsidR="00B30551" w:rsidRPr="0055056D">
        <w:rPr>
          <w:lang w:eastAsia="ar-SA"/>
        </w:rPr>
        <w:t xml:space="preserve">; however, </w:t>
      </w:r>
      <w:r w:rsidR="00025F6E" w:rsidRPr="0055056D">
        <w:rPr>
          <w:lang w:eastAsia="ar-SA"/>
        </w:rPr>
        <w:t xml:space="preserve">the NJC </w:t>
      </w:r>
      <w:r w:rsidR="004D21E4" w:rsidRPr="0055056D">
        <w:rPr>
          <w:lang w:eastAsia="ar-SA"/>
        </w:rPr>
        <w:t xml:space="preserve">does not have enough powers to effectively </w:t>
      </w:r>
      <w:r w:rsidR="00D474E8" w:rsidRPr="0055056D">
        <w:rPr>
          <w:lang w:eastAsia="ar-SA"/>
        </w:rPr>
        <w:t>counterbalance</w:t>
      </w:r>
      <w:r w:rsidR="00A76B8A" w:rsidRPr="0055056D">
        <w:rPr>
          <w:lang w:eastAsia="ar-SA"/>
        </w:rPr>
        <w:t xml:space="preserve"> the </w:t>
      </w:r>
      <w:r w:rsidR="00817D8E" w:rsidRPr="0055056D">
        <w:rPr>
          <w:lang w:eastAsia="ar-SA"/>
        </w:rPr>
        <w:t>powers of the N</w:t>
      </w:r>
      <w:r w:rsidR="006A68EB" w:rsidRPr="0055056D">
        <w:rPr>
          <w:lang w:eastAsia="ar-SA"/>
        </w:rPr>
        <w:t>O</w:t>
      </w:r>
      <w:r w:rsidR="00817D8E" w:rsidRPr="0055056D">
        <w:rPr>
          <w:lang w:eastAsia="ar-SA"/>
        </w:rPr>
        <w:t xml:space="preserve">J’s </w:t>
      </w:r>
      <w:r w:rsidR="006A68EB" w:rsidRPr="0055056D">
        <w:rPr>
          <w:lang w:eastAsia="ar-SA"/>
        </w:rPr>
        <w:t>P</w:t>
      </w:r>
      <w:r w:rsidR="00817D8E" w:rsidRPr="0055056D">
        <w:rPr>
          <w:lang w:eastAsia="ar-SA"/>
        </w:rPr>
        <w:t>resident</w:t>
      </w:r>
      <w:r w:rsidR="00DD5123" w:rsidRPr="0055056D">
        <w:rPr>
          <w:lang w:eastAsia="ar-SA"/>
        </w:rPr>
        <w:t xml:space="preserve"> </w:t>
      </w:r>
      <w:r w:rsidR="00B85DB6" w:rsidRPr="0055056D">
        <w:rPr>
          <w:lang w:eastAsia="ar-SA"/>
        </w:rPr>
        <w:t xml:space="preserve">who </w:t>
      </w:r>
      <w:r w:rsidR="00CE1E68" w:rsidRPr="0055056D">
        <w:rPr>
          <w:lang w:eastAsia="ar-SA"/>
        </w:rPr>
        <w:t xml:space="preserve">is able to </w:t>
      </w:r>
      <w:r w:rsidR="000F017B" w:rsidRPr="0055056D">
        <w:rPr>
          <w:lang w:eastAsia="ar-SA"/>
        </w:rPr>
        <w:t>bring arbitrary decisions</w:t>
      </w:r>
      <w:r w:rsidR="00F37EE4" w:rsidRPr="0055056D">
        <w:rPr>
          <w:lang w:eastAsia="ar-SA"/>
        </w:rPr>
        <w:t xml:space="preserve"> concerning appointment and promotion of judges.</w:t>
      </w:r>
    </w:p>
    <w:p w14:paraId="1D4BCEEB" w14:textId="7EE924AE" w:rsidR="00F37EE4" w:rsidRPr="0055056D" w:rsidRDefault="00F37EE4" w:rsidP="00F754A4">
      <w:pPr>
        <w:pStyle w:val="MBT"/>
        <w:rPr>
          <w:lang w:eastAsia="ar-SA"/>
        </w:rPr>
      </w:pPr>
      <w:r w:rsidRPr="0055056D">
        <w:rPr>
          <w:lang w:eastAsia="ar-SA"/>
        </w:rPr>
        <w:t xml:space="preserve">Judges are appointed by the President of the Republic, on the recommendation of the President of the NOJ, based on an application procedure that provides for </w:t>
      </w:r>
      <w:r w:rsidR="003E4C63" w:rsidRPr="0055056D">
        <w:rPr>
          <w:b/>
          <w:lang w:eastAsia="ar-SA"/>
        </w:rPr>
        <w:t xml:space="preserve">certain </w:t>
      </w:r>
      <w:r w:rsidRPr="0055056D">
        <w:rPr>
          <w:b/>
          <w:lang w:eastAsia="ar-SA"/>
        </w:rPr>
        <w:t>guarantees against arbitrary appointments</w:t>
      </w:r>
      <w:r w:rsidR="001C591E" w:rsidRPr="0055056D">
        <w:rPr>
          <w:lang w:eastAsia="ar-SA"/>
        </w:rPr>
        <w:t xml:space="preserve">; </w:t>
      </w:r>
      <w:r w:rsidRPr="0055056D">
        <w:rPr>
          <w:lang w:eastAsia="ar-SA"/>
        </w:rPr>
        <w:t xml:space="preserve">for instance, the ranking of candidates is established by the local judicial councils and the NOJ President cannot deviate from this in </w:t>
      </w:r>
      <w:r w:rsidR="002C3499" w:rsidRPr="0055056D">
        <w:rPr>
          <w:lang w:eastAsia="ar-SA"/>
        </w:rPr>
        <w:t>his</w:t>
      </w:r>
      <w:r w:rsidRPr="0055056D">
        <w:rPr>
          <w:lang w:eastAsia="ar-SA"/>
        </w:rPr>
        <w:t xml:space="preserve"> recommendation without the approval of the National Judicial Council</w:t>
      </w:r>
      <w:r w:rsidRPr="0055056D">
        <w:rPr>
          <w:rStyle w:val="Rimandonotaapidipagina"/>
          <w:lang w:eastAsia="ar-SA"/>
        </w:rPr>
        <w:footnoteReference w:id="94"/>
      </w:r>
      <w:r w:rsidRPr="0055056D">
        <w:rPr>
          <w:lang w:eastAsia="ar-SA"/>
        </w:rPr>
        <w:t xml:space="preserve">. </w:t>
      </w:r>
      <w:r w:rsidR="00E8214D" w:rsidRPr="0055056D">
        <w:rPr>
          <w:lang w:eastAsia="ar-SA"/>
        </w:rPr>
        <w:t>However</w:t>
      </w:r>
      <w:r w:rsidR="006B74BE" w:rsidRPr="0055056D">
        <w:rPr>
          <w:lang w:eastAsia="ar-SA"/>
        </w:rPr>
        <w:t xml:space="preserve">, these </w:t>
      </w:r>
      <w:r w:rsidR="005B3FBE" w:rsidRPr="0055056D">
        <w:rPr>
          <w:lang w:eastAsia="ar-SA"/>
        </w:rPr>
        <w:t>guarantees</w:t>
      </w:r>
      <w:r w:rsidR="006B74BE" w:rsidRPr="0055056D">
        <w:rPr>
          <w:lang w:eastAsia="ar-SA"/>
        </w:rPr>
        <w:t xml:space="preserve"> </w:t>
      </w:r>
      <w:r w:rsidR="005B3FBE" w:rsidRPr="0055056D">
        <w:rPr>
          <w:lang w:eastAsia="ar-SA"/>
        </w:rPr>
        <w:t>are not sufficient</w:t>
      </w:r>
      <w:r w:rsidR="00E8214D" w:rsidRPr="0055056D">
        <w:rPr>
          <w:lang w:eastAsia="ar-SA"/>
        </w:rPr>
        <w:t>, as t</w:t>
      </w:r>
      <w:r w:rsidR="00D474E8" w:rsidRPr="0055056D">
        <w:rPr>
          <w:lang w:eastAsia="ar-SA"/>
        </w:rPr>
        <w:t xml:space="preserve">he national legislation </w:t>
      </w:r>
      <w:r w:rsidR="00147EE8" w:rsidRPr="0055056D">
        <w:rPr>
          <w:lang w:eastAsia="ar-SA"/>
        </w:rPr>
        <w:t>includes</w:t>
      </w:r>
      <w:r w:rsidR="00D474E8" w:rsidRPr="0055056D">
        <w:rPr>
          <w:lang w:eastAsia="ar-SA"/>
        </w:rPr>
        <w:t xml:space="preserve"> loopholes </w:t>
      </w:r>
      <w:r w:rsidR="00780B92" w:rsidRPr="0055056D">
        <w:rPr>
          <w:lang w:eastAsia="ar-SA"/>
        </w:rPr>
        <w:t>by which</w:t>
      </w:r>
      <w:r w:rsidR="00D474E8" w:rsidRPr="0055056D">
        <w:rPr>
          <w:lang w:eastAsia="ar-SA"/>
        </w:rPr>
        <w:t xml:space="preserve"> the NOJ President or the President of the </w:t>
      </w:r>
      <w:r w:rsidR="000C50F9" w:rsidRPr="0055056D">
        <w:rPr>
          <w:lang w:eastAsia="ar-SA"/>
        </w:rPr>
        <w:t xml:space="preserve">Curia </w:t>
      </w:r>
      <w:r w:rsidR="00D92A26" w:rsidRPr="0055056D">
        <w:rPr>
          <w:lang w:eastAsia="ar-SA"/>
        </w:rPr>
        <w:t>may</w:t>
      </w:r>
      <w:r w:rsidR="00D474E8" w:rsidRPr="0055056D">
        <w:rPr>
          <w:lang w:eastAsia="ar-SA"/>
        </w:rPr>
        <w:t xml:space="preserve"> block or circumvent </w:t>
      </w:r>
      <w:r w:rsidR="000C50F9" w:rsidRPr="0055056D">
        <w:rPr>
          <w:lang w:eastAsia="ar-SA"/>
        </w:rPr>
        <w:t>the</w:t>
      </w:r>
      <w:r w:rsidR="00D474E8" w:rsidRPr="0055056D">
        <w:rPr>
          <w:lang w:eastAsia="ar-SA"/>
        </w:rPr>
        <w:t xml:space="preserve"> application procedure.</w:t>
      </w:r>
      <w:r w:rsidR="00D51ECB" w:rsidRPr="0055056D">
        <w:rPr>
          <w:lang w:eastAsia="ar-SA"/>
        </w:rPr>
        <w:t xml:space="preserve"> </w:t>
      </w:r>
      <w:r w:rsidR="009702B7" w:rsidRPr="0055056D">
        <w:rPr>
          <w:lang w:eastAsia="ar-SA"/>
        </w:rPr>
        <w:t xml:space="preserve">It </w:t>
      </w:r>
      <w:r w:rsidR="004878E3" w:rsidRPr="0055056D">
        <w:rPr>
          <w:lang w:eastAsia="ar-SA"/>
        </w:rPr>
        <w:t xml:space="preserve">was reported that </w:t>
      </w:r>
      <w:r w:rsidR="00086C0D" w:rsidRPr="0055056D">
        <w:rPr>
          <w:lang w:eastAsia="ar-SA"/>
        </w:rPr>
        <w:t>these loopholes were</w:t>
      </w:r>
      <w:r w:rsidR="00137161" w:rsidRPr="0055056D">
        <w:rPr>
          <w:lang w:eastAsia="ar-SA"/>
        </w:rPr>
        <w:t xml:space="preserve"> often utilised in 2022</w:t>
      </w:r>
      <w:r w:rsidR="009702B7" w:rsidRPr="0055056D">
        <w:rPr>
          <w:lang w:eastAsia="ar-SA"/>
        </w:rPr>
        <w:t xml:space="preserve"> </w:t>
      </w:r>
      <w:r w:rsidR="00E304FD" w:rsidRPr="0055056D">
        <w:rPr>
          <w:lang w:eastAsia="ar-SA"/>
        </w:rPr>
        <w:t xml:space="preserve">and </w:t>
      </w:r>
      <w:r w:rsidR="0050377F" w:rsidRPr="0055056D">
        <w:rPr>
          <w:lang w:eastAsia="ar-SA"/>
        </w:rPr>
        <w:t xml:space="preserve">several </w:t>
      </w:r>
      <w:r w:rsidR="00E304FD" w:rsidRPr="0055056D">
        <w:rPr>
          <w:lang w:eastAsia="ar-SA"/>
        </w:rPr>
        <w:t xml:space="preserve">judicial appointments were made in a non-transparent </w:t>
      </w:r>
      <w:r w:rsidR="0013413E" w:rsidRPr="0055056D">
        <w:rPr>
          <w:lang w:eastAsia="ar-SA"/>
        </w:rPr>
        <w:t>and non-</w:t>
      </w:r>
      <w:r w:rsidR="00FF1CB8" w:rsidRPr="0055056D">
        <w:rPr>
          <w:lang w:eastAsia="ar-SA"/>
        </w:rPr>
        <w:t>objective manner</w:t>
      </w:r>
      <w:r w:rsidR="006E48D0" w:rsidRPr="0055056D">
        <w:rPr>
          <w:rStyle w:val="Rimandonotaapidipagina"/>
          <w:lang w:eastAsia="ar-SA"/>
        </w:rPr>
        <w:footnoteReference w:id="95"/>
      </w:r>
      <w:r w:rsidR="00E304FD" w:rsidRPr="0055056D">
        <w:rPr>
          <w:lang w:eastAsia="ar-SA"/>
        </w:rPr>
        <w:t>.</w:t>
      </w:r>
      <w:r w:rsidR="00086C0D" w:rsidRPr="0055056D">
        <w:rPr>
          <w:lang w:eastAsia="ar-SA"/>
        </w:rPr>
        <w:t xml:space="preserve"> </w:t>
      </w:r>
      <w:r w:rsidR="00D51ECB" w:rsidRPr="0055056D">
        <w:rPr>
          <w:lang w:eastAsia="ar-SA"/>
        </w:rPr>
        <w:t xml:space="preserve">Since these </w:t>
      </w:r>
      <w:r w:rsidR="00D841E1" w:rsidRPr="0055056D">
        <w:rPr>
          <w:lang w:eastAsia="ar-SA"/>
        </w:rPr>
        <w:t xml:space="preserve">Presidents are </w:t>
      </w:r>
      <w:r w:rsidR="002F673E" w:rsidRPr="0055056D">
        <w:rPr>
          <w:lang w:eastAsia="ar-SA"/>
        </w:rPr>
        <w:t>politically appointed (</w:t>
      </w:r>
      <w:r w:rsidR="00237DEF" w:rsidRPr="0055056D">
        <w:rPr>
          <w:lang w:eastAsia="ar-SA"/>
        </w:rPr>
        <w:t xml:space="preserve">they are elected </w:t>
      </w:r>
      <w:r w:rsidR="00372F16" w:rsidRPr="0055056D">
        <w:rPr>
          <w:lang w:eastAsia="ar-SA"/>
        </w:rPr>
        <w:t xml:space="preserve">for nine years </w:t>
      </w:r>
      <w:r w:rsidR="00237DEF" w:rsidRPr="0055056D">
        <w:rPr>
          <w:lang w:eastAsia="ar-SA"/>
        </w:rPr>
        <w:t xml:space="preserve">by </w:t>
      </w:r>
      <w:r w:rsidR="00E25398" w:rsidRPr="0055056D">
        <w:rPr>
          <w:lang w:eastAsia="ar-SA"/>
        </w:rPr>
        <w:t>two</w:t>
      </w:r>
      <w:r w:rsidR="00C800CA" w:rsidRPr="0055056D">
        <w:rPr>
          <w:lang w:eastAsia="ar-SA"/>
        </w:rPr>
        <w:t xml:space="preserve"> </w:t>
      </w:r>
      <w:r w:rsidR="00E25398" w:rsidRPr="0055056D">
        <w:rPr>
          <w:lang w:eastAsia="ar-SA"/>
        </w:rPr>
        <w:t xml:space="preserve">thirds of the Members of </w:t>
      </w:r>
      <w:r w:rsidR="00374128" w:rsidRPr="0055056D">
        <w:rPr>
          <w:lang w:eastAsia="ar-SA"/>
        </w:rPr>
        <w:t xml:space="preserve">the </w:t>
      </w:r>
      <w:r w:rsidR="00E25398" w:rsidRPr="0055056D">
        <w:rPr>
          <w:lang w:eastAsia="ar-SA"/>
        </w:rPr>
        <w:t xml:space="preserve">Parliament, on the proposal </w:t>
      </w:r>
      <w:r w:rsidR="00C15659" w:rsidRPr="0055056D">
        <w:rPr>
          <w:lang w:eastAsia="ar-SA"/>
        </w:rPr>
        <w:t>of</w:t>
      </w:r>
      <w:r w:rsidR="00E25398" w:rsidRPr="0055056D">
        <w:rPr>
          <w:lang w:eastAsia="ar-SA"/>
        </w:rPr>
        <w:t xml:space="preserve"> the President of the Republic</w:t>
      </w:r>
      <w:r w:rsidR="00EF3F5A" w:rsidRPr="0055056D">
        <w:rPr>
          <w:rStyle w:val="Rimandonotaapidipagina"/>
          <w:lang w:eastAsia="ar-SA"/>
        </w:rPr>
        <w:footnoteReference w:id="96"/>
      </w:r>
      <w:r w:rsidR="00F10BD0" w:rsidRPr="0055056D">
        <w:rPr>
          <w:lang w:eastAsia="ar-SA"/>
        </w:rPr>
        <w:t xml:space="preserve">), </w:t>
      </w:r>
      <w:r w:rsidR="002B04F6" w:rsidRPr="0055056D">
        <w:rPr>
          <w:lang w:eastAsia="ar-SA"/>
        </w:rPr>
        <w:t>they m</w:t>
      </w:r>
      <w:r w:rsidR="00113B35" w:rsidRPr="0055056D">
        <w:rPr>
          <w:lang w:eastAsia="ar-SA"/>
        </w:rPr>
        <w:t>ight</w:t>
      </w:r>
      <w:r w:rsidR="002B04F6" w:rsidRPr="0055056D">
        <w:rPr>
          <w:lang w:eastAsia="ar-SA"/>
        </w:rPr>
        <w:t xml:space="preserve"> </w:t>
      </w:r>
      <w:r w:rsidR="00C32A2B" w:rsidRPr="0055056D">
        <w:rPr>
          <w:lang w:eastAsia="ar-SA"/>
        </w:rPr>
        <w:t>misuse</w:t>
      </w:r>
      <w:r w:rsidR="00A314ED" w:rsidRPr="0055056D">
        <w:rPr>
          <w:lang w:eastAsia="ar-SA"/>
        </w:rPr>
        <w:t xml:space="preserve"> the procedure </w:t>
      </w:r>
      <w:r w:rsidR="002B04F6" w:rsidRPr="0055056D">
        <w:rPr>
          <w:lang w:eastAsia="ar-SA"/>
        </w:rPr>
        <w:t xml:space="preserve">to </w:t>
      </w:r>
      <w:r w:rsidR="008B2D54" w:rsidRPr="0055056D">
        <w:rPr>
          <w:lang w:eastAsia="ar-SA"/>
        </w:rPr>
        <w:t xml:space="preserve">grant </w:t>
      </w:r>
      <w:r w:rsidR="001705A0" w:rsidRPr="0055056D">
        <w:rPr>
          <w:lang w:eastAsia="ar-SA"/>
        </w:rPr>
        <w:t>judicial appointments to</w:t>
      </w:r>
      <w:r w:rsidR="002B04F6" w:rsidRPr="0055056D">
        <w:rPr>
          <w:lang w:eastAsia="ar-SA"/>
        </w:rPr>
        <w:t xml:space="preserve"> </w:t>
      </w:r>
      <w:r w:rsidR="001D3D34" w:rsidRPr="0055056D">
        <w:rPr>
          <w:lang w:eastAsia="ar-SA"/>
        </w:rPr>
        <w:t xml:space="preserve">politically affiliated persons or </w:t>
      </w:r>
      <w:r w:rsidR="002B04F6" w:rsidRPr="0055056D">
        <w:rPr>
          <w:lang w:eastAsia="ar-SA"/>
        </w:rPr>
        <w:t>persons</w:t>
      </w:r>
      <w:r w:rsidR="00502FA7" w:rsidRPr="0055056D">
        <w:rPr>
          <w:lang w:eastAsia="ar-SA"/>
        </w:rPr>
        <w:t xml:space="preserve"> </w:t>
      </w:r>
      <w:r w:rsidR="00543EB7" w:rsidRPr="0055056D">
        <w:rPr>
          <w:lang w:eastAsia="ar-SA"/>
        </w:rPr>
        <w:t xml:space="preserve">without appropriate </w:t>
      </w:r>
      <w:r w:rsidR="00905A46" w:rsidRPr="0055056D">
        <w:rPr>
          <w:lang w:eastAsia="ar-SA"/>
        </w:rPr>
        <w:t>qualifications</w:t>
      </w:r>
      <w:r w:rsidR="002B04F6" w:rsidRPr="0055056D">
        <w:rPr>
          <w:lang w:eastAsia="ar-SA"/>
        </w:rPr>
        <w:t xml:space="preserve">, as was the case </w:t>
      </w:r>
      <w:r w:rsidR="009B3D53" w:rsidRPr="0055056D">
        <w:rPr>
          <w:lang w:eastAsia="ar-SA"/>
        </w:rPr>
        <w:t xml:space="preserve">in the appointment of </w:t>
      </w:r>
      <w:r w:rsidR="00561EA5" w:rsidRPr="0055056D">
        <w:rPr>
          <w:lang w:eastAsia="ar-SA"/>
        </w:rPr>
        <w:t>a former state secretary without any prior judicial experience</w:t>
      </w:r>
      <w:r w:rsidR="006E48D0" w:rsidRPr="0055056D">
        <w:rPr>
          <w:rStyle w:val="Rimandonotaapidipagina"/>
          <w:lang w:eastAsia="ar-SA"/>
        </w:rPr>
        <w:footnoteReference w:id="97"/>
      </w:r>
      <w:r w:rsidR="00905A46" w:rsidRPr="0055056D">
        <w:rPr>
          <w:lang w:eastAsia="ar-SA"/>
        </w:rPr>
        <w:t>.</w:t>
      </w:r>
      <w:r w:rsidR="00CF463D" w:rsidRPr="0055056D">
        <w:rPr>
          <w:lang w:eastAsia="ar-SA"/>
        </w:rPr>
        <w:t xml:space="preserve"> </w:t>
      </w:r>
      <w:r w:rsidR="001E174A" w:rsidRPr="0055056D">
        <w:rPr>
          <w:lang w:eastAsia="ar-SA"/>
        </w:rPr>
        <w:t xml:space="preserve">Judicial promotions and leadership positions should also be awarded in the framework of an ordinary application procedure, but the law allows for </w:t>
      </w:r>
      <w:proofErr w:type="gramStart"/>
      <w:r w:rsidR="001E174A" w:rsidRPr="0055056D">
        <w:rPr>
          <w:lang w:eastAsia="ar-SA"/>
        </w:rPr>
        <w:t>a number of</w:t>
      </w:r>
      <w:proofErr w:type="gramEnd"/>
      <w:r w:rsidR="001E174A" w:rsidRPr="0055056D">
        <w:rPr>
          <w:lang w:eastAsia="ar-SA"/>
        </w:rPr>
        <w:t xml:space="preserve"> exceptions</w:t>
      </w:r>
      <w:r w:rsidR="001E174A" w:rsidRPr="0055056D">
        <w:rPr>
          <w:rStyle w:val="Rimandonotaapidipagina"/>
          <w:lang w:eastAsia="ar-SA"/>
        </w:rPr>
        <w:footnoteReference w:id="98"/>
      </w:r>
      <w:r w:rsidR="001E174A" w:rsidRPr="0055056D">
        <w:rPr>
          <w:lang w:eastAsia="ar-SA"/>
        </w:rPr>
        <w:t>.</w:t>
      </w:r>
      <w:r w:rsidR="005A5EA1" w:rsidRPr="0055056D">
        <w:rPr>
          <w:lang w:eastAsia="ar-SA"/>
        </w:rPr>
        <w:t xml:space="preserve"> </w:t>
      </w:r>
      <w:r w:rsidR="00847B54" w:rsidRPr="0055056D">
        <w:rPr>
          <w:lang w:eastAsia="ar-SA"/>
        </w:rPr>
        <w:t>The president</w:t>
      </w:r>
      <w:r w:rsidR="00F40C1E" w:rsidRPr="0055056D">
        <w:rPr>
          <w:lang w:eastAsia="ar-SA"/>
        </w:rPr>
        <w:t>s</w:t>
      </w:r>
      <w:r w:rsidR="00847B54" w:rsidRPr="0055056D">
        <w:rPr>
          <w:lang w:eastAsia="ar-SA"/>
        </w:rPr>
        <w:t xml:space="preserve"> of the N</w:t>
      </w:r>
      <w:r w:rsidR="00F40C1E" w:rsidRPr="0055056D">
        <w:rPr>
          <w:lang w:eastAsia="ar-SA"/>
        </w:rPr>
        <w:t>O</w:t>
      </w:r>
      <w:r w:rsidR="00847B54" w:rsidRPr="0055056D">
        <w:rPr>
          <w:lang w:eastAsia="ar-SA"/>
        </w:rPr>
        <w:t xml:space="preserve">J and the Curia have </w:t>
      </w:r>
      <w:r w:rsidR="00601C0F" w:rsidRPr="0055056D">
        <w:rPr>
          <w:lang w:eastAsia="ar-SA"/>
        </w:rPr>
        <w:t xml:space="preserve">discretionary powers </w:t>
      </w:r>
      <w:r w:rsidR="00065E88" w:rsidRPr="0055056D">
        <w:rPr>
          <w:lang w:eastAsia="ar-SA"/>
        </w:rPr>
        <w:t>concer</w:t>
      </w:r>
      <w:r w:rsidR="00994439" w:rsidRPr="0055056D">
        <w:rPr>
          <w:lang w:eastAsia="ar-SA"/>
        </w:rPr>
        <w:t>ning d</w:t>
      </w:r>
      <w:r w:rsidR="00170C3A" w:rsidRPr="0055056D">
        <w:rPr>
          <w:lang w:eastAsia="ar-SA"/>
        </w:rPr>
        <w:t>ecisions on promotions without an application procedure</w:t>
      </w:r>
      <w:r w:rsidR="00155A1D" w:rsidRPr="0055056D">
        <w:rPr>
          <w:lang w:eastAsia="ar-SA"/>
        </w:rPr>
        <w:t xml:space="preserve">, </w:t>
      </w:r>
      <w:r w:rsidR="006037D1" w:rsidRPr="0055056D">
        <w:rPr>
          <w:lang w:eastAsia="ar-SA"/>
        </w:rPr>
        <w:t>eliminating</w:t>
      </w:r>
      <w:r w:rsidR="00155A1D" w:rsidRPr="0055056D">
        <w:rPr>
          <w:lang w:eastAsia="ar-SA"/>
        </w:rPr>
        <w:t xml:space="preserve"> </w:t>
      </w:r>
      <w:r w:rsidR="00032E09" w:rsidRPr="0055056D">
        <w:rPr>
          <w:lang w:eastAsia="ar-SA"/>
        </w:rPr>
        <w:t>thus</w:t>
      </w:r>
      <w:r w:rsidR="00155A1D" w:rsidRPr="0055056D">
        <w:rPr>
          <w:lang w:eastAsia="ar-SA"/>
        </w:rPr>
        <w:t xml:space="preserve"> the guarantees associated with</w:t>
      </w:r>
      <w:r w:rsidR="00170C3A" w:rsidRPr="0055056D">
        <w:rPr>
          <w:lang w:eastAsia="ar-SA"/>
        </w:rPr>
        <w:t xml:space="preserve"> </w:t>
      </w:r>
      <w:r w:rsidR="00B97A25" w:rsidRPr="0055056D">
        <w:rPr>
          <w:lang w:eastAsia="ar-SA"/>
        </w:rPr>
        <w:t>a transparent</w:t>
      </w:r>
      <w:r w:rsidR="00170C3A" w:rsidRPr="0055056D">
        <w:rPr>
          <w:lang w:eastAsia="ar-SA"/>
        </w:rPr>
        <w:t xml:space="preserve"> </w:t>
      </w:r>
      <w:r w:rsidR="001F008B" w:rsidRPr="0055056D">
        <w:rPr>
          <w:lang w:eastAsia="ar-SA"/>
        </w:rPr>
        <w:t>application procedure.</w:t>
      </w:r>
      <w:r w:rsidR="00170C3A" w:rsidRPr="0055056D">
        <w:rPr>
          <w:lang w:eastAsia="ar-SA"/>
        </w:rPr>
        <w:t xml:space="preserve"> No judicial remedy is available against </w:t>
      </w:r>
      <w:r w:rsidR="00D31520" w:rsidRPr="0055056D">
        <w:rPr>
          <w:lang w:eastAsia="ar-SA"/>
        </w:rPr>
        <w:t xml:space="preserve">such </w:t>
      </w:r>
      <w:r w:rsidR="0014086E" w:rsidRPr="0055056D">
        <w:rPr>
          <w:lang w:eastAsia="ar-SA"/>
        </w:rPr>
        <w:t>appointments</w:t>
      </w:r>
      <w:r w:rsidR="00D5316F" w:rsidRPr="0055056D">
        <w:rPr>
          <w:rStyle w:val="Rimandonotaapidipagina"/>
          <w:lang w:eastAsia="ar-SA"/>
        </w:rPr>
        <w:footnoteReference w:id="99"/>
      </w:r>
      <w:r w:rsidR="00D31520" w:rsidRPr="0055056D">
        <w:rPr>
          <w:lang w:eastAsia="ar-SA"/>
        </w:rPr>
        <w:t>.</w:t>
      </w:r>
      <w:r w:rsidR="005B7AA8" w:rsidRPr="0055056D">
        <w:rPr>
          <w:lang w:eastAsia="ar-SA"/>
        </w:rPr>
        <w:t xml:space="preserve"> </w:t>
      </w:r>
      <w:r w:rsidR="001F206A" w:rsidRPr="0055056D">
        <w:rPr>
          <w:lang w:eastAsia="ar-SA"/>
        </w:rPr>
        <w:t>Certain legislation amendments also took place which allowed for the appointment as judges and heads of panels at the Curia of some persons</w:t>
      </w:r>
      <w:r w:rsidR="007F22AA" w:rsidRPr="0055056D">
        <w:rPr>
          <w:lang w:eastAsia="ar-SA"/>
        </w:rPr>
        <w:t xml:space="preserve"> (such as the current president and vice-president)</w:t>
      </w:r>
      <w:r w:rsidR="001F206A" w:rsidRPr="0055056D">
        <w:rPr>
          <w:lang w:eastAsia="ar-SA"/>
        </w:rPr>
        <w:t>, exempting them from going through the ordinary application procedure</w:t>
      </w:r>
      <w:r w:rsidR="001F206A" w:rsidRPr="0055056D">
        <w:rPr>
          <w:rStyle w:val="Rimandonotaapidipagina"/>
          <w:lang w:eastAsia="ar-SA"/>
        </w:rPr>
        <w:footnoteReference w:id="100"/>
      </w:r>
      <w:r w:rsidR="001F206A" w:rsidRPr="0055056D">
        <w:rPr>
          <w:lang w:eastAsia="ar-SA"/>
        </w:rPr>
        <w:t xml:space="preserve">. </w:t>
      </w:r>
      <w:r w:rsidR="008B20B5" w:rsidRPr="0055056D">
        <w:rPr>
          <w:lang w:eastAsia="ar-SA"/>
        </w:rPr>
        <w:t>S</w:t>
      </w:r>
      <w:r w:rsidR="00095658" w:rsidRPr="0055056D">
        <w:rPr>
          <w:lang w:eastAsia="ar-SA"/>
        </w:rPr>
        <w:t xml:space="preserve">econdments </w:t>
      </w:r>
      <w:r w:rsidR="00E14D86" w:rsidRPr="0055056D">
        <w:rPr>
          <w:lang w:eastAsia="ar-SA"/>
        </w:rPr>
        <w:t xml:space="preserve">to the Curia </w:t>
      </w:r>
      <w:r w:rsidR="0095566D" w:rsidRPr="0055056D">
        <w:rPr>
          <w:lang w:eastAsia="ar-SA"/>
        </w:rPr>
        <w:t>based on discretionary decisions of the NOJ President</w:t>
      </w:r>
      <w:r w:rsidR="00095658" w:rsidRPr="0055056D">
        <w:rPr>
          <w:lang w:eastAsia="ar-SA"/>
        </w:rPr>
        <w:t xml:space="preserve"> ha</w:t>
      </w:r>
      <w:r w:rsidR="00E77690" w:rsidRPr="0055056D">
        <w:rPr>
          <w:lang w:eastAsia="ar-SA"/>
        </w:rPr>
        <w:t>ve</w:t>
      </w:r>
      <w:r w:rsidR="00095658" w:rsidRPr="0055056D">
        <w:rPr>
          <w:lang w:eastAsia="ar-SA"/>
        </w:rPr>
        <w:t xml:space="preserve"> also</w:t>
      </w:r>
      <w:r w:rsidR="00F53AEF" w:rsidRPr="0055056D">
        <w:rPr>
          <w:lang w:eastAsia="ar-SA"/>
        </w:rPr>
        <w:t xml:space="preserve"> </w:t>
      </w:r>
      <w:r w:rsidR="006819CA" w:rsidRPr="0055056D">
        <w:rPr>
          <w:lang w:eastAsia="ar-SA"/>
        </w:rPr>
        <w:t xml:space="preserve">been </w:t>
      </w:r>
      <w:r w:rsidR="00E77690" w:rsidRPr="0055056D">
        <w:rPr>
          <w:lang w:eastAsia="ar-SA"/>
        </w:rPr>
        <w:t>widely used</w:t>
      </w:r>
      <w:r w:rsidR="006819CA" w:rsidRPr="0055056D">
        <w:rPr>
          <w:lang w:eastAsia="ar-SA"/>
        </w:rPr>
        <w:t xml:space="preserve"> to</w:t>
      </w:r>
      <w:r w:rsidR="00427C60" w:rsidRPr="0055056D">
        <w:rPr>
          <w:lang w:eastAsia="ar-SA"/>
        </w:rPr>
        <w:t xml:space="preserve"> bypass the </w:t>
      </w:r>
      <w:r w:rsidR="00647617" w:rsidRPr="0055056D">
        <w:rPr>
          <w:lang w:eastAsia="ar-SA"/>
        </w:rPr>
        <w:t>ordinary process of promotion</w:t>
      </w:r>
      <w:r w:rsidR="00830A2F" w:rsidRPr="0055056D">
        <w:rPr>
          <w:lang w:eastAsia="ar-SA"/>
        </w:rPr>
        <w:t>s</w:t>
      </w:r>
      <w:r w:rsidR="002A502C" w:rsidRPr="0055056D">
        <w:rPr>
          <w:rStyle w:val="Rimandonotaapidipagina"/>
          <w:lang w:eastAsia="ar-SA"/>
        </w:rPr>
        <w:footnoteReference w:id="101"/>
      </w:r>
      <w:r w:rsidR="00647617" w:rsidRPr="0055056D">
        <w:rPr>
          <w:lang w:eastAsia="ar-SA"/>
        </w:rPr>
        <w:t>.</w:t>
      </w:r>
      <w:r w:rsidR="006819CA" w:rsidRPr="0055056D">
        <w:rPr>
          <w:lang w:eastAsia="ar-SA"/>
        </w:rPr>
        <w:t xml:space="preserve"> </w:t>
      </w:r>
      <w:r w:rsidR="00854FC4" w:rsidRPr="0055056D">
        <w:rPr>
          <w:b/>
          <w:bCs w:val="0"/>
          <w:lang w:eastAsia="ar-SA"/>
        </w:rPr>
        <w:t>Such</w:t>
      </w:r>
      <w:r w:rsidR="00854FC4" w:rsidRPr="0055056D">
        <w:rPr>
          <w:b/>
          <w:lang w:eastAsia="ar-SA"/>
        </w:rPr>
        <w:t xml:space="preserve"> irregularities in appointments</w:t>
      </w:r>
      <w:r w:rsidR="00854FC4" w:rsidRPr="0055056D">
        <w:rPr>
          <w:b/>
          <w:bCs w:val="0"/>
          <w:lang w:eastAsia="ar-SA"/>
        </w:rPr>
        <w:t xml:space="preserve"> </w:t>
      </w:r>
      <w:r w:rsidR="00516CD7" w:rsidRPr="0055056D">
        <w:rPr>
          <w:b/>
          <w:bCs w:val="0"/>
          <w:lang w:eastAsia="ar-SA"/>
        </w:rPr>
        <w:t>and promotions</w:t>
      </w:r>
      <w:r w:rsidR="00854FC4" w:rsidRPr="0055056D">
        <w:rPr>
          <w:b/>
          <w:lang w:eastAsia="ar-SA"/>
        </w:rPr>
        <w:t xml:space="preserve"> call into question the independence and professionalism of the judges</w:t>
      </w:r>
      <w:r w:rsidR="00D60827" w:rsidRPr="0055056D">
        <w:rPr>
          <w:b/>
          <w:bCs w:val="0"/>
          <w:lang w:eastAsia="ar-SA"/>
        </w:rPr>
        <w:t xml:space="preserve"> and judicial </w:t>
      </w:r>
      <w:r w:rsidR="0048571E" w:rsidRPr="0055056D">
        <w:rPr>
          <w:b/>
          <w:bCs w:val="0"/>
          <w:lang w:eastAsia="ar-SA"/>
        </w:rPr>
        <w:t>leaders</w:t>
      </w:r>
      <w:r w:rsidR="00854FC4" w:rsidRPr="0055056D">
        <w:rPr>
          <w:lang w:eastAsia="ar-SA"/>
        </w:rPr>
        <w:t>.</w:t>
      </w:r>
      <w:r w:rsidR="002132C2" w:rsidRPr="0055056D">
        <w:rPr>
          <w:lang w:eastAsia="ar-SA"/>
        </w:rPr>
        <w:t xml:space="preserve"> </w:t>
      </w:r>
      <w:r w:rsidR="0023461E" w:rsidRPr="0055056D">
        <w:rPr>
          <w:lang w:eastAsia="ar-SA"/>
        </w:rPr>
        <w:t>A</w:t>
      </w:r>
      <w:r w:rsidR="002132C2" w:rsidRPr="0055056D">
        <w:rPr>
          <w:lang w:eastAsia="ar-SA"/>
        </w:rPr>
        <w:t xml:space="preserve"> survey with the participation of 29% </w:t>
      </w:r>
      <w:r w:rsidR="006F6692" w:rsidRPr="0055056D">
        <w:rPr>
          <w:lang w:eastAsia="ar-SA"/>
        </w:rPr>
        <w:t xml:space="preserve">of </w:t>
      </w:r>
      <w:r w:rsidR="005128CC" w:rsidRPr="0055056D">
        <w:rPr>
          <w:lang w:eastAsia="ar-SA"/>
        </w:rPr>
        <w:t xml:space="preserve">the </w:t>
      </w:r>
      <w:r w:rsidR="006F6692" w:rsidRPr="0055056D">
        <w:rPr>
          <w:lang w:eastAsia="ar-SA"/>
        </w:rPr>
        <w:t>Hungarian judges</w:t>
      </w:r>
      <w:r w:rsidR="004B1DD2" w:rsidRPr="0055056D">
        <w:rPr>
          <w:lang w:eastAsia="ar-SA"/>
        </w:rPr>
        <w:t xml:space="preserve"> shows </w:t>
      </w:r>
      <w:r w:rsidR="00CC05F3" w:rsidRPr="0055056D">
        <w:rPr>
          <w:lang w:eastAsia="ar-SA"/>
        </w:rPr>
        <w:t>the lack of trust in the judicial appointment processes even among the judiciary itself with</w:t>
      </w:r>
      <w:r w:rsidR="0087709B" w:rsidRPr="0055056D">
        <w:rPr>
          <w:lang w:eastAsia="ar-SA"/>
        </w:rPr>
        <w:t xml:space="preserve"> 42%</w:t>
      </w:r>
      <w:r w:rsidR="00344347" w:rsidRPr="0055056D">
        <w:rPr>
          <w:lang w:eastAsia="ar-SA"/>
        </w:rPr>
        <w:t xml:space="preserve"> </w:t>
      </w:r>
      <w:r w:rsidR="00F754A4" w:rsidRPr="0055056D">
        <w:rPr>
          <w:lang w:eastAsia="ar-SA"/>
        </w:rPr>
        <w:t>believ</w:t>
      </w:r>
      <w:r w:rsidR="00CC05F3" w:rsidRPr="0055056D">
        <w:rPr>
          <w:lang w:eastAsia="ar-SA"/>
        </w:rPr>
        <w:t>ing</w:t>
      </w:r>
      <w:r w:rsidR="00F754A4" w:rsidRPr="0055056D">
        <w:rPr>
          <w:lang w:eastAsia="ar-SA"/>
        </w:rPr>
        <w:t xml:space="preserve"> that judges in Hungary </w:t>
      </w:r>
      <w:r w:rsidR="009363BD" w:rsidRPr="0055056D">
        <w:rPr>
          <w:lang w:eastAsia="ar-SA"/>
        </w:rPr>
        <w:t>“</w:t>
      </w:r>
      <w:r w:rsidR="00F754A4" w:rsidRPr="0055056D">
        <w:rPr>
          <w:lang w:eastAsia="ar-SA"/>
        </w:rPr>
        <w:t>have entered the judiciary on first appointment other than solely on the basis of ability and experience during the last three years</w:t>
      </w:r>
      <w:r w:rsidR="009363BD" w:rsidRPr="0055056D">
        <w:rPr>
          <w:lang w:eastAsia="ar-SA"/>
        </w:rPr>
        <w:t>”</w:t>
      </w:r>
      <w:r w:rsidR="00B454B5" w:rsidRPr="0055056D">
        <w:rPr>
          <w:lang w:eastAsia="ar-SA"/>
        </w:rPr>
        <w:t>;</w:t>
      </w:r>
      <w:r w:rsidR="00EE3E5E" w:rsidRPr="0055056D">
        <w:rPr>
          <w:lang w:eastAsia="ar-SA"/>
        </w:rPr>
        <w:t xml:space="preserve"> whereas </w:t>
      </w:r>
      <w:r w:rsidR="00B454B5" w:rsidRPr="0055056D">
        <w:rPr>
          <w:lang w:eastAsia="ar-SA"/>
        </w:rPr>
        <w:t xml:space="preserve">52% </w:t>
      </w:r>
      <w:r w:rsidR="002B3FFB" w:rsidRPr="0055056D">
        <w:rPr>
          <w:lang w:eastAsia="ar-SA"/>
        </w:rPr>
        <w:t>believ</w:t>
      </w:r>
      <w:r w:rsidR="00DA6F87" w:rsidRPr="0055056D">
        <w:rPr>
          <w:lang w:eastAsia="ar-SA"/>
        </w:rPr>
        <w:t>ing</w:t>
      </w:r>
      <w:r w:rsidR="002B3FFB" w:rsidRPr="0055056D">
        <w:rPr>
          <w:lang w:eastAsia="ar-SA"/>
        </w:rPr>
        <w:t xml:space="preserve"> the same in case</w:t>
      </w:r>
      <w:r w:rsidR="00EE3E5E" w:rsidRPr="0055056D">
        <w:rPr>
          <w:lang w:eastAsia="ar-SA"/>
        </w:rPr>
        <w:t xml:space="preserve"> of </w:t>
      </w:r>
      <w:r w:rsidR="00D03D42" w:rsidRPr="0055056D">
        <w:rPr>
          <w:lang w:eastAsia="ar-SA"/>
        </w:rPr>
        <w:t>judges appointed to the Curia</w:t>
      </w:r>
      <w:r w:rsidR="00AD525C" w:rsidRPr="0055056D">
        <w:rPr>
          <w:rStyle w:val="Rimandonotaapidipagina"/>
          <w:lang w:eastAsia="ar-SA"/>
        </w:rPr>
        <w:footnoteReference w:id="102"/>
      </w:r>
      <w:r w:rsidR="00D03D42" w:rsidRPr="0055056D">
        <w:rPr>
          <w:lang w:eastAsia="ar-SA"/>
        </w:rPr>
        <w:t>.</w:t>
      </w:r>
      <w:r w:rsidR="00B454B5" w:rsidRPr="0055056D">
        <w:rPr>
          <w:lang w:eastAsia="ar-SA"/>
        </w:rPr>
        <w:t xml:space="preserve"> </w:t>
      </w:r>
    </w:p>
    <w:p w14:paraId="16000CBD" w14:textId="42A859A7" w:rsidR="00B70329" w:rsidRPr="0055056D" w:rsidRDefault="001D3BEE" w:rsidP="00B43BB5">
      <w:pPr>
        <w:pStyle w:val="MBT"/>
        <w:rPr>
          <w:lang w:eastAsia="ar-SA"/>
        </w:rPr>
      </w:pPr>
      <w:r w:rsidRPr="0055056D">
        <w:t>In addition, court presidents have discretion on establishing the case allocation scheme</w:t>
      </w:r>
      <w:r w:rsidR="00C4516B" w:rsidRPr="0055056D">
        <w:t>s</w:t>
      </w:r>
      <w:r w:rsidRPr="0055056D">
        <w:t xml:space="preserve">, and since </w:t>
      </w:r>
      <w:r w:rsidR="0052106F" w:rsidRPr="0055056D">
        <w:lastRenderedPageBreak/>
        <w:t>1 April 2020, schemes can be modified any time, which in practice happens on a regular basis</w:t>
      </w:r>
      <w:r w:rsidR="00EF1627" w:rsidRPr="0055056D">
        <w:t>, sometimes from one day to the next</w:t>
      </w:r>
      <w:r w:rsidR="00335EDD" w:rsidRPr="0055056D">
        <w:rPr>
          <w:rStyle w:val="Rimandonotaapidipagina"/>
        </w:rPr>
        <w:footnoteReference w:id="103"/>
      </w:r>
      <w:r w:rsidR="00EF1627" w:rsidRPr="0055056D">
        <w:t>.</w:t>
      </w:r>
      <w:r w:rsidR="0052106F" w:rsidRPr="0055056D">
        <w:t xml:space="preserve"> </w:t>
      </w:r>
      <w:r w:rsidR="001F0728" w:rsidRPr="0055056D">
        <w:t>T</w:t>
      </w:r>
      <w:r w:rsidR="00426C19" w:rsidRPr="0055056D">
        <w:t xml:space="preserve">he case allocation schemes </w:t>
      </w:r>
      <w:r w:rsidR="001F0728" w:rsidRPr="0055056D">
        <w:t xml:space="preserve">leave ample room </w:t>
      </w:r>
      <w:r w:rsidR="00A06C84" w:rsidRPr="0055056D">
        <w:t>to</w:t>
      </w:r>
      <w:r w:rsidR="001F0728" w:rsidRPr="0055056D">
        <w:t xml:space="preserve"> manipulat</w:t>
      </w:r>
      <w:r w:rsidR="00A06C84" w:rsidRPr="0055056D">
        <w:t>e</w:t>
      </w:r>
      <w:r w:rsidR="001F0728" w:rsidRPr="0055056D">
        <w:t xml:space="preserve"> the judicial system </w:t>
      </w:r>
      <w:r w:rsidR="009A0139" w:rsidRPr="0055056D">
        <w:t xml:space="preserve">by failing to </w:t>
      </w:r>
      <w:r w:rsidR="00426C19" w:rsidRPr="0055056D">
        <w:t>prevent the possibility that sensitive or politically important cases can be allocated to “reliable” judges who will adjudicate according to political interests</w:t>
      </w:r>
      <w:r w:rsidR="00315D1C" w:rsidRPr="0055056D">
        <w:rPr>
          <w:rStyle w:val="Rimandonotaapidipagina"/>
        </w:rPr>
        <w:footnoteReference w:id="104"/>
      </w:r>
      <w:r w:rsidR="00C4516B" w:rsidRPr="0055056D">
        <w:t>.</w:t>
      </w:r>
      <w:r w:rsidR="002A4959" w:rsidRPr="0055056D">
        <w:t xml:space="preserve"> </w:t>
      </w:r>
      <w:r w:rsidR="00002E33" w:rsidRPr="0055056D">
        <w:t>Moreover, t</w:t>
      </w:r>
      <w:r w:rsidR="002A4959" w:rsidRPr="0055056D">
        <w:t>he N</w:t>
      </w:r>
      <w:r w:rsidR="008505C2" w:rsidRPr="0055056D">
        <w:t>O</w:t>
      </w:r>
      <w:r w:rsidR="002A4959" w:rsidRPr="0055056D">
        <w:t xml:space="preserve">J president and </w:t>
      </w:r>
      <w:r w:rsidR="008505C2" w:rsidRPr="0055056D">
        <w:t xml:space="preserve">judicial leaders have a wide discretion </w:t>
      </w:r>
      <w:r w:rsidR="004152CC" w:rsidRPr="0055056D">
        <w:t xml:space="preserve">in </w:t>
      </w:r>
      <w:r w:rsidR="00DE7873" w:rsidRPr="0055056D">
        <w:t>setting bonuses for judges</w:t>
      </w:r>
      <w:r w:rsidR="00081F8C" w:rsidRPr="0055056D">
        <w:t xml:space="preserve">; therefore, </w:t>
      </w:r>
      <w:r w:rsidR="00336608" w:rsidRPr="0055056D">
        <w:t>cutting or giving bonus</w:t>
      </w:r>
      <w:r w:rsidR="00E86B2F" w:rsidRPr="0055056D">
        <w:t>es</w:t>
      </w:r>
      <w:r w:rsidR="00EC6E8C" w:rsidRPr="0055056D">
        <w:t xml:space="preserve"> can </w:t>
      </w:r>
      <w:r w:rsidR="00FA394F" w:rsidRPr="0055056D">
        <w:t xml:space="preserve">serve as a tool for silencing </w:t>
      </w:r>
      <w:r w:rsidR="00FA289E" w:rsidRPr="0055056D">
        <w:t xml:space="preserve">judges or </w:t>
      </w:r>
      <w:r w:rsidR="00D41584" w:rsidRPr="0055056D">
        <w:t>influencing the</w:t>
      </w:r>
      <w:r w:rsidR="00FA289E" w:rsidRPr="0055056D">
        <w:t>ir</w:t>
      </w:r>
      <w:r w:rsidR="00D41584" w:rsidRPr="0055056D">
        <w:t xml:space="preserve"> acti</w:t>
      </w:r>
      <w:r w:rsidR="000A2694" w:rsidRPr="0055056D">
        <w:t>vities</w:t>
      </w:r>
      <w:r w:rsidR="00CB5369" w:rsidRPr="0055056D">
        <w:t>.</w:t>
      </w:r>
      <w:r w:rsidR="00347654" w:rsidRPr="0055056D">
        <w:t xml:space="preserve"> This </w:t>
      </w:r>
      <w:r w:rsidR="009B0F33" w:rsidRPr="0055056D">
        <w:t>has further impact on the independence of the judiciary.</w:t>
      </w:r>
    </w:p>
    <w:p w14:paraId="0C76E6EF" w14:textId="67B61348" w:rsidR="00F52DE4" w:rsidRPr="0055056D" w:rsidRDefault="0083541B" w:rsidP="00B43BB5">
      <w:pPr>
        <w:pStyle w:val="MBT"/>
        <w:rPr>
          <w:lang w:eastAsia="ar-SA"/>
        </w:rPr>
      </w:pPr>
      <w:r w:rsidRPr="0055056D">
        <w:rPr>
          <w:lang w:eastAsia="ar-SA"/>
        </w:rPr>
        <w:t xml:space="preserve">With the dissolution of the </w:t>
      </w:r>
      <w:r w:rsidR="00864322" w:rsidRPr="0055056D">
        <w:rPr>
          <w:lang w:eastAsia="ar-SA"/>
        </w:rPr>
        <w:t>A</w:t>
      </w:r>
      <w:r w:rsidRPr="0055056D">
        <w:rPr>
          <w:lang w:eastAsia="ar-SA"/>
        </w:rPr>
        <w:t xml:space="preserve">dministrative and </w:t>
      </w:r>
      <w:r w:rsidR="00864322" w:rsidRPr="0055056D">
        <w:rPr>
          <w:lang w:eastAsia="ar-SA"/>
        </w:rPr>
        <w:t>L</w:t>
      </w:r>
      <w:r w:rsidRPr="0055056D">
        <w:rPr>
          <w:lang w:eastAsia="ar-SA"/>
        </w:rPr>
        <w:t xml:space="preserve">abour courts </w:t>
      </w:r>
      <w:r w:rsidR="00864322" w:rsidRPr="0055056D">
        <w:rPr>
          <w:lang w:eastAsia="ar-SA"/>
        </w:rPr>
        <w:t xml:space="preserve">on 1 April 2020, </w:t>
      </w:r>
      <w:r w:rsidR="00F50C6D" w:rsidRPr="0055056D">
        <w:rPr>
          <w:lang w:eastAsia="ar-SA"/>
        </w:rPr>
        <w:t xml:space="preserve">the Curia </w:t>
      </w:r>
      <w:r w:rsidR="00A60D74" w:rsidRPr="0055056D">
        <w:rPr>
          <w:lang w:eastAsia="ar-SA"/>
        </w:rPr>
        <w:t>“</w:t>
      </w:r>
      <w:r w:rsidR="00F50C6D" w:rsidRPr="0055056D">
        <w:rPr>
          <w:i/>
          <w:lang w:eastAsia="ar-SA"/>
        </w:rPr>
        <w:t>gained exclusive competence to rule (i) as the first instance court (especially in certain politically sensitive matters, including cases related to elections and the right to freedom of assembly); (ii) as the second instance court (in general in all cases where regional courts ruled as first instance) and (iii) as the court of extraordinary review (in all administrative cases)</w:t>
      </w:r>
      <w:r w:rsidR="00F0077F" w:rsidRPr="0055056D">
        <w:rPr>
          <w:lang w:eastAsia="ar-SA"/>
        </w:rPr>
        <w:t>”</w:t>
      </w:r>
      <w:r w:rsidR="003052D9" w:rsidRPr="0055056D">
        <w:rPr>
          <w:rStyle w:val="Rimandonotaapidipagina"/>
          <w:lang w:eastAsia="ar-SA"/>
        </w:rPr>
        <w:footnoteReference w:id="105"/>
      </w:r>
      <w:r w:rsidR="00F0077F" w:rsidRPr="0055056D">
        <w:rPr>
          <w:lang w:eastAsia="ar-SA"/>
        </w:rPr>
        <w:t>.</w:t>
      </w:r>
      <w:r w:rsidR="001F34A0" w:rsidRPr="0055056D">
        <w:t xml:space="preserve"> </w:t>
      </w:r>
      <w:r w:rsidR="001B422E" w:rsidRPr="0055056D">
        <w:t xml:space="preserve">According to </w:t>
      </w:r>
      <w:r w:rsidR="00A642A5" w:rsidRPr="0055056D">
        <w:t>NGO contributions to the 2023 Commission Rule of Law Report, s</w:t>
      </w:r>
      <w:r w:rsidR="00B35379" w:rsidRPr="0055056D">
        <w:t xml:space="preserve">uch centralisation of administrative </w:t>
      </w:r>
      <w:r w:rsidR="00E34713" w:rsidRPr="0055056D">
        <w:t>adjudication</w:t>
      </w:r>
      <w:r w:rsidR="00F37A84" w:rsidRPr="0055056D">
        <w:t xml:space="preserve"> was </w:t>
      </w:r>
      <w:r w:rsidR="003B1E9D" w:rsidRPr="0055056D">
        <w:t>important</w:t>
      </w:r>
      <w:r w:rsidR="00F37A84" w:rsidRPr="0055056D">
        <w:t xml:space="preserve"> for </w:t>
      </w:r>
      <w:r w:rsidR="001F34A0" w:rsidRPr="0055056D">
        <w:rPr>
          <w:lang w:eastAsia="ar-SA"/>
        </w:rPr>
        <w:t xml:space="preserve">the Hungarian government </w:t>
      </w:r>
      <w:r w:rsidR="006137CE" w:rsidRPr="0055056D">
        <w:rPr>
          <w:lang w:eastAsia="ar-SA"/>
        </w:rPr>
        <w:t>as</w:t>
      </w:r>
      <w:r w:rsidR="001F34A0" w:rsidRPr="0055056D">
        <w:rPr>
          <w:lang w:eastAsia="ar-SA"/>
        </w:rPr>
        <w:t xml:space="preserve"> </w:t>
      </w:r>
      <w:r w:rsidR="003B1E9D" w:rsidRPr="0055056D">
        <w:rPr>
          <w:lang w:eastAsia="ar-SA"/>
        </w:rPr>
        <w:t xml:space="preserve">in </w:t>
      </w:r>
      <w:r w:rsidR="00431193" w:rsidRPr="0055056D">
        <w:rPr>
          <w:lang w:eastAsia="ar-SA"/>
        </w:rPr>
        <w:t>such instances</w:t>
      </w:r>
      <w:r w:rsidR="00C01D67" w:rsidRPr="0055056D">
        <w:rPr>
          <w:lang w:eastAsia="ar-SA"/>
        </w:rPr>
        <w:t xml:space="preserve"> relevant</w:t>
      </w:r>
      <w:r w:rsidR="001F34A0" w:rsidRPr="0055056D">
        <w:rPr>
          <w:lang w:eastAsia="ar-SA"/>
        </w:rPr>
        <w:t xml:space="preserve"> cases involving fundamental rights (</w:t>
      </w:r>
      <w:r w:rsidR="006F5259" w:rsidRPr="0055056D">
        <w:rPr>
          <w:lang w:eastAsia="ar-SA"/>
        </w:rPr>
        <w:t>such as</w:t>
      </w:r>
      <w:r w:rsidR="001F34A0" w:rsidRPr="0055056D">
        <w:rPr>
          <w:lang w:eastAsia="ar-SA"/>
        </w:rPr>
        <w:t xml:space="preserve"> elections, </w:t>
      </w:r>
      <w:r w:rsidR="006F5259" w:rsidRPr="0055056D">
        <w:rPr>
          <w:lang w:eastAsia="ar-SA"/>
        </w:rPr>
        <w:t xml:space="preserve">asylum, </w:t>
      </w:r>
      <w:r w:rsidR="001F34A0" w:rsidRPr="0055056D">
        <w:rPr>
          <w:lang w:eastAsia="ar-SA"/>
        </w:rPr>
        <w:t xml:space="preserve">administrative decisions by the police, or the exercise of the right </w:t>
      </w:r>
      <w:r w:rsidR="00D01B8A" w:rsidRPr="0055056D">
        <w:rPr>
          <w:lang w:eastAsia="ar-SA"/>
        </w:rPr>
        <w:t>to freedom of</w:t>
      </w:r>
      <w:r w:rsidR="001F34A0" w:rsidRPr="0055056D">
        <w:rPr>
          <w:lang w:eastAsia="ar-SA"/>
        </w:rPr>
        <w:t xml:space="preserve"> assembly) and cases of </w:t>
      </w:r>
      <w:r w:rsidR="00A17026" w:rsidRPr="0055056D">
        <w:rPr>
          <w:lang w:eastAsia="ar-SA"/>
        </w:rPr>
        <w:t>significant</w:t>
      </w:r>
      <w:r w:rsidR="001F34A0" w:rsidRPr="0055056D">
        <w:rPr>
          <w:lang w:eastAsia="ar-SA"/>
        </w:rPr>
        <w:t xml:space="preserve"> economic importance (</w:t>
      </w:r>
      <w:r w:rsidR="00B07F12" w:rsidRPr="0055056D">
        <w:rPr>
          <w:lang w:eastAsia="ar-SA"/>
        </w:rPr>
        <w:t>such as</w:t>
      </w:r>
      <w:r w:rsidR="001F34A0" w:rsidRPr="0055056D">
        <w:rPr>
          <w:lang w:eastAsia="ar-SA"/>
        </w:rPr>
        <w:t xml:space="preserve"> tax and customs disputes, public procurement, building and construction permits, land and forest</w:t>
      </w:r>
      <w:r w:rsidR="001B422E" w:rsidRPr="0055056D">
        <w:rPr>
          <w:lang w:eastAsia="ar-SA"/>
        </w:rPr>
        <w:t xml:space="preserve"> ownership</w:t>
      </w:r>
      <w:r w:rsidR="001F34A0" w:rsidRPr="0055056D">
        <w:rPr>
          <w:lang w:eastAsia="ar-SA"/>
        </w:rPr>
        <w:t>)</w:t>
      </w:r>
      <w:r w:rsidR="001B422E" w:rsidRPr="0055056D">
        <w:rPr>
          <w:lang w:eastAsia="ar-SA"/>
        </w:rPr>
        <w:t xml:space="preserve"> are decided</w:t>
      </w:r>
      <w:r w:rsidR="001F34A0" w:rsidRPr="0055056D">
        <w:rPr>
          <w:lang w:eastAsia="ar-SA"/>
        </w:rPr>
        <w:t>.</w:t>
      </w:r>
      <w:r w:rsidR="00991924" w:rsidRPr="0055056D">
        <w:rPr>
          <w:lang w:eastAsia="ar-SA"/>
        </w:rPr>
        <w:t xml:space="preserve"> </w:t>
      </w:r>
      <w:r w:rsidR="00CD5BE6" w:rsidRPr="0055056D">
        <w:rPr>
          <w:lang w:eastAsia="ar-SA"/>
        </w:rPr>
        <w:t xml:space="preserve">The extensive centralisation and the </w:t>
      </w:r>
      <w:r w:rsidR="00DE5395" w:rsidRPr="0055056D">
        <w:rPr>
          <w:lang w:eastAsia="ar-SA"/>
        </w:rPr>
        <w:t xml:space="preserve">mentioned </w:t>
      </w:r>
      <w:r w:rsidR="003C5D96" w:rsidRPr="0055056D">
        <w:rPr>
          <w:lang w:eastAsia="ar-SA"/>
        </w:rPr>
        <w:t xml:space="preserve">legal or practical shortcomings of the national system of checks and balances </w:t>
      </w:r>
      <w:r w:rsidR="00606DBB" w:rsidRPr="0055056D">
        <w:rPr>
          <w:lang w:eastAsia="ar-SA"/>
        </w:rPr>
        <w:t xml:space="preserve">within the judiciary has indicated the </w:t>
      </w:r>
      <w:r w:rsidR="009C1B66" w:rsidRPr="0055056D">
        <w:rPr>
          <w:lang w:eastAsia="ar-SA"/>
        </w:rPr>
        <w:t>judicial proceedings and administrative processes related to the judiciary</w:t>
      </w:r>
      <w:r w:rsidR="00D40AAE" w:rsidRPr="0055056D">
        <w:rPr>
          <w:lang w:eastAsia="ar-SA"/>
        </w:rPr>
        <w:t xml:space="preserve"> have</w:t>
      </w:r>
      <w:r w:rsidR="009C1B66" w:rsidRPr="0055056D">
        <w:rPr>
          <w:lang w:eastAsia="ar-SA"/>
        </w:rPr>
        <w:t xml:space="preserve"> </w:t>
      </w:r>
      <w:r w:rsidR="00D40AAE" w:rsidRPr="0055056D">
        <w:rPr>
          <w:lang w:eastAsia="ar-SA"/>
        </w:rPr>
        <w:t xml:space="preserve">increasingly fallen short of the </w:t>
      </w:r>
      <w:r w:rsidR="007525AC" w:rsidRPr="0055056D">
        <w:rPr>
          <w:lang w:eastAsia="ar-SA"/>
        </w:rPr>
        <w:t>standards</w:t>
      </w:r>
      <w:r w:rsidR="000F22F2" w:rsidRPr="0055056D">
        <w:rPr>
          <w:lang w:eastAsia="ar-SA"/>
        </w:rPr>
        <w:t>, such as judicial independence,</w:t>
      </w:r>
      <w:r w:rsidR="007525AC" w:rsidRPr="0055056D">
        <w:rPr>
          <w:lang w:eastAsia="ar-SA"/>
        </w:rPr>
        <w:t xml:space="preserve"> </w:t>
      </w:r>
      <w:r w:rsidR="000F22F2" w:rsidRPr="0055056D">
        <w:rPr>
          <w:lang w:eastAsia="ar-SA"/>
        </w:rPr>
        <w:t>required to protect the rule</w:t>
      </w:r>
      <w:r w:rsidR="009C1B66" w:rsidRPr="0055056D">
        <w:rPr>
          <w:lang w:eastAsia="ar-SA"/>
        </w:rPr>
        <w:t xml:space="preserve"> </w:t>
      </w:r>
      <w:r w:rsidR="000F22F2" w:rsidRPr="0055056D">
        <w:rPr>
          <w:lang w:eastAsia="ar-SA"/>
        </w:rPr>
        <w:t>of law especially in the face of mounting dissensus from the executive.</w:t>
      </w:r>
      <w:r w:rsidR="00CD5BE6" w:rsidRPr="0055056D">
        <w:rPr>
          <w:lang w:eastAsia="ar-SA"/>
        </w:rPr>
        <w:t xml:space="preserve"> </w:t>
      </w:r>
      <w:r w:rsidR="005863B4" w:rsidRPr="0055056D">
        <w:rPr>
          <w:b/>
          <w:bCs w:val="0"/>
          <w:lang w:eastAsia="ar-SA"/>
        </w:rPr>
        <w:t>H</w:t>
      </w:r>
      <w:r w:rsidR="00991924" w:rsidRPr="0055056D">
        <w:rPr>
          <w:b/>
          <w:lang w:eastAsia="ar-SA"/>
        </w:rPr>
        <w:t xml:space="preserve">ow the </w:t>
      </w:r>
      <w:proofErr w:type="spellStart"/>
      <w:r w:rsidR="00233AB4" w:rsidRPr="0055056D">
        <w:rPr>
          <w:b/>
          <w:lang w:eastAsia="ar-SA"/>
        </w:rPr>
        <w:t>Fidesz</w:t>
      </w:r>
      <w:proofErr w:type="spellEnd"/>
      <w:r w:rsidR="00233AB4" w:rsidRPr="0055056D">
        <w:rPr>
          <w:b/>
          <w:lang w:eastAsia="ar-SA"/>
        </w:rPr>
        <w:t>-led political majority</w:t>
      </w:r>
      <w:r w:rsidR="001862B2" w:rsidRPr="0055056D">
        <w:rPr>
          <w:b/>
          <w:lang w:eastAsia="ar-SA"/>
        </w:rPr>
        <w:t xml:space="preserve"> has been undermining the </w:t>
      </w:r>
      <w:r w:rsidR="00512894" w:rsidRPr="0055056D">
        <w:rPr>
          <w:b/>
          <w:lang w:eastAsia="ar-SA"/>
        </w:rPr>
        <w:t xml:space="preserve">independence of the judiciary in Hungary </w:t>
      </w:r>
      <w:r w:rsidR="009F7FF0" w:rsidRPr="0055056D">
        <w:rPr>
          <w:b/>
          <w:lang w:eastAsia="ar-SA"/>
        </w:rPr>
        <w:t>since 2010</w:t>
      </w:r>
      <w:r w:rsidR="00AD78D9" w:rsidRPr="0055056D">
        <w:rPr>
          <w:lang w:eastAsia="ar-SA"/>
        </w:rPr>
        <w:t xml:space="preserve"> </w:t>
      </w:r>
      <w:r w:rsidR="009F7084" w:rsidRPr="0055056D">
        <w:rPr>
          <w:lang w:eastAsia="ar-SA"/>
        </w:rPr>
        <w:t xml:space="preserve">has been subject of extensive criticism, </w:t>
      </w:r>
      <w:r w:rsidR="007C504B" w:rsidRPr="0055056D">
        <w:rPr>
          <w:lang w:eastAsia="ar-SA"/>
        </w:rPr>
        <w:t xml:space="preserve">among others, </w:t>
      </w:r>
      <w:r w:rsidR="007C6C06" w:rsidRPr="0055056D">
        <w:rPr>
          <w:lang w:eastAsia="ar-SA"/>
        </w:rPr>
        <w:t xml:space="preserve">by the Hungarian Helsinki Committee </w:t>
      </w:r>
      <w:r w:rsidR="007B0A22" w:rsidRPr="0055056D">
        <w:rPr>
          <w:lang w:eastAsia="ar-SA"/>
        </w:rPr>
        <w:t>whose analysis concluded</w:t>
      </w:r>
      <w:r w:rsidR="007C6C06" w:rsidRPr="0055056D" w:rsidDel="007B0A22">
        <w:rPr>
          <w:lang w:eastAsia="ar-SA"/>
        </w:rPr>
        <w:t xml:space="preserve"> </w:t>
      </w:r>
      <w:r w:rsidR="007C6C06" w:rsidRPr="0055056D">
        <w:rPr>
          <w:lang w:eastAsia="ar-SA"/>
        </w:rPr>
        <w:t xml:space="preserve">that the </w:t>
      </w:r>
      <w:r w:rsidR="00B43BB5" w:rsidRPr="0055056D">
        <w:rPr>
          <w:lang w:eastAsia="ar-SA"/>
        </w:rPr>
        <w:t>only independent body</w:t>
      </w:r>
      <w:r w:rsidR="00D155FF" w:rsidRPr="0055056D">
        <w:rPr>
          <w:lang w:eastAsia="ar-SA"/>
        </w:rPr>
        <w:t>, for now,</w:t>
      </w:r>
      <w:r w:rsidR="00B43BB5" w:rsidRPr="0055056D">
        <w:rPr>
          <w:lang w:eastAsia="ar-SA"/>
        </w:rPr>
        <w:t xml:space="preserve"> remains the </w:t>
      </w:r>
      <w:r w:rsidR="007B0A22" w:rsidRPr="0055056D">
        <w:rPr>
          <w:lang w:eastAsia="ar-SA"/>
        </w:rPr>
        <w:t xml:space="preserve">National Judicial Council </w:t>
      </w:r>
      <w:r w:rsidR="00485B94" w:rsidRPr="0055056D">
        <w:rPr>
          <w:lang w:eastAsia="ar-SA"/>
        </w:rPr>
        <w:t>that</w:t>
      </w:r>
      <w:r w:rsidR="007B0A22" w:rsidRPr="0055056D">
        <w:rPr>
          <w:lang w:eastAsia="ar-SA"/>
        </w:rPr>
        <w:t>, however,</w:t>
      </w:r>
      <w:r w:rsidR="00485B94" w:rsidRPr="0055056D">
        <w:rPr>
          <w:lang w:eastAsia="ar-SA"/>
        </w:rPr>
        <w:t xml:space="preserve"> has limited powers</w:t>
      </w:r>
      <w:r w:rsidR="00617D6A" w:rsidRPr="0055056D">
        <w:rPr>
          <w:lang w:eastAsia="ar-SA"/>
        </w:rPr>
        <w:t xml:space="preserve"> to uphold </w:t>
      </w:r>
      <w:r w:rsidR="008D74ED" w:rsidRPr="0055056D">
        <w:rPr>
          <w:lang w:eastAsia="ar-SA"/>
        </w:rPr>
        <w:t>judicial independence</w:t>
      </w:r>
      <w:r w:rsidR="00485B94" w:rsidRPr="0055056D">
        <w:rPr>
          <w:rStyle w:val="Rimandonotaapidipagina"/>
          <w:lang w:eastAsia="ar-SA"/>
        </w:rPr>
        <w:footnoteReference w:id="106"/>
      </w:r>
      <w:r w:rsidR="00B43BB5" w:rsidRPr="0055056D">
        <w:rPr>
          <w:lang w:eastAsia="ar-SA"/>
        </w:rPr>
        <w:t>.</w:t>
      </w:r>
    </w:p>
    <w:p w14:paraId="34A95867" w14:textId="77777777" w:rsidR="00E46AD5" w:rsidRPr="0055056D" w:rsidRDefault="00E46AD5" w:rsidP="004C7114">
      <w:pPr>
        <w:pStyle w:val="MBT"/>
        <w:rPr>
          <w:lang w:val="en-US" w:eastAsia="ar-SA"/>
        </w:rPr>
      </w:pPr>
    </w:p>
    <w:p w14:paraId="7048D9F8" w14:textId="245CB08B" w:rsidR="008969CF" w:rsidRPr="0055056D" w:rsidRDefault="008969CF" w:rsidP="008969CF">
      <w:pPr>
        <w:pStyle w:val="MH2"/>
        <w:rPr>
          <w:lang w:val="en-US"/>
        </w:rPr>
      </w:pPr>
      <w:r w:rsidRPr="0055056D">
        <w:t>Judicial Intervention</w:t>
      </w:r>
      <w:r w:rsidRPr="0055056D">
        <w:rPr>
          <w:lang w:val="en-US"/>
        </w:rPr>
        <w:t xml:space="preserve"> </w:t>
      </w:r>
    </w:p>
    <w:p w14:paraId="20C07AE0" w14:textId="207DF173" w:rsidR="005A5730" w:rsidRPr="0055056D" w:rsidRDefault="005A5730" w:rsidP="005A5730">
      <w:pPr>
        <w:pStyle w:val="MBT"/>
        <w:rPr>
          <w:color w:val="000000" w:themeColor="text1"/>
          <w:lang w:val="en-US"/>
        </w:rPr>
      </w:pPr>
      <w:r w:rsidRPr="0055056D">
        <w:rPr>
          <w:color w:val="000000" w:themeColor="text1"/>
          <w:lang w:val="en-US"/>
        </w:rPr>
        <w:t xml:space="preserve">The Constitutional Court </w:t>
      </w:r>
      <w:r w:rsidR="00C31B9E" w:rsidRPr="0055056D">
        <w:rPr>
          <w:color w:val="000000" w:themeColor="text1"/>
          <w:lang w:val="en-US"/>
        </w:rPr>
        <w:t xml:space="preserve">processes explained </w:t>
      </w:r>
      <w:r w:rsidRPr="0055056D">
        <w:rPr>
          <w:color w:val="000000" w:themeColor="text1"/>
          <w:lang w:val="en-US"/>
        </w:rPr>
        <w:t>in Section 2.1</w:t>
      </w:r>
      <w:r w:rsidR="00C31B9E" w:rsidRPr="0055056D">
        <w:rPr>
          <w:color w:val="000000" w:themeColor="text1"/>
          <w:lang w:val="en-US"/>
        </w:rPr>
        <w:t xml:space="preserve"> above </w:t>
      </w:r>
      <w:r w:rsidR="002A3FD4" w:rsidRPr="0055056D">
        <w:rPr>
          <w:color w:val="000000" w:themeColor="text1"/>
          <w:lang w:val="en-US"/>
        </w:rPr>
        <w:t xml:space="preserve">give various avenues for the CC to intervene in case of </w:t>
      </w:r>
      <w:r w:rsidR="00F159D9" w:rsidRPr="0055056D">
        <w:rPr>
          <w:color w:val="000000" w:themeColor="text1"/>
          <w:lang w:val="en-US"/>
        </w:rPr>
        <w:t xml:space="preserve">breaches of the rule of law </w:t>
      </w:r>
      <w:r w:rsidR="00900A45" w:rsidRPr="0055056D">
        <w:rPr>
          <w:color w:val="000000" w:themeColor="text1"/>
          <w:lang w:val="en-US"/>
        </w:rPr>
        <w:t xml:space="preserve">either during legislative or judicial processes. These </w:t>
      </w:r>
      <w:r w:rsidR="00C31B9E" w:rsidRPr="0055056D">
        <w:rPr>
          <w:color w:val="000000" w:themeColor="text1"/>
          <w:lang w:val="en-US"/>
        </w:rPr>
        <w:t>make the CC well placed</w:t>
      </w:r>
      <w:r w:rsidR="00900A45" w:rsidRPr="0055056D">
        <w:rPr>
          <w:color w:val="000000" w:themeColor="text1"/>
          <w:lang w:val="en-US"/>
        </w:rPr>
        <w:t>, on paper,</w:t>
      </w:r>
      <w:r w:rsidR="00C31B9E" w:rsidRPr="0055056D">
        <w:rPr>
          <w:color w:val="000000" w:themeColor="text1"/>
          <w:lang w:val="en-US"/>
        </w:rPr>
        <w:t xml:space="preserve"> </w:t>
      </w:r>
      <w:r w:rsidR="00900A45" w:rsidRPr="0055056D">
        <w:rPr>
          <w:color w:val="000000" w:themeColor="text1"/>
          <w:lang w:val="en-US"/>
        </w:rPr>
        <w:t>to guard the rule of law in the national context. However, in p</w:t>
      </w:r>
      <w:r w:rsidR="00B4754A" w:rsidRPr="0055056D">
        <w:rPr>
          <w:color w:val="000000" w:themeColor="text1"/>
          <w:lang w:val="en-US"/>
        </w:rPr>
        <w:t>ractice, a</w:t>
      </w:r>
      <w:r w:rsidRPr="0055056D">
        <w:rPr>
          <w:color w:val="000000" w:themeColor="text1"/>
          <w:lang w:val="en-US"/>
        </w:rPr>
        <w:t xml:space="preserve">s the individual complaint mechanism has not performed an effective control function on the executive’s continued attacks on the separation of powers, neither did the </w:t>
      </w:r>
      <w:r w:rsidRPr="0055056D">
        <w:rPr>
          <w:b/>
          <w:bCs w:val="0"/>
          <w:color w:val="000000" w:themeColor="text1"/>
          <w:lang w:val="en-US"/>
        </w:rPr>
        <w:t>preliminary and subsequent norm control functions</w:t>
      </w:r>
      <w:r w:rsidRPr="0055056D">
        <w:rPr>
          <w:color w:val="000000" w:themeColor="text1"/>
          <w:lang w:val="en-US"/>
        </w:rPr>
        <w:t xml:space="preserve"> of the Constitutional Court - even though their very objective is to provide additional </w:t>
      </w:r>
      <w:r w:rsidRPr="0055056D">
        <w:rPr>
          <w:i/>
          <w:iCs/>
          <w:color w:val="000000" w:themeColor="text1"/>
          <w:lang w:val="en-US"/>
        </w:rPr>
        <w:t xml:space="preserve">de </w:t>
      </w:r>
      <w:proofErr w:type="spellStart"/>
      <w:r w:rsidRPr="0055056D">
        <w:rPr>
          <w:i/>
          <w:iCs/>
          <w:color w:val="000000" w:themeColor="text1"/>
          <w:lang w:val="en-US"/>
        </w:rPr>
        <w:t>lege</w:t>
      </w:r>
      <w:proofErr w:type="spellEnd"/>
      <w:r w:rsidRPr="0055056D">
        <w:rPr>
          <w:color w:val="000000" w:themeColor="text1"/>
          <w:lang w:val="en-US"/>
        </w:rPr>
        <w:t xml:space="preserve"> tools to ensure that national legislation is in line with constitutional principles, such as the rule of law. The preliminary norm control, as defined in Article 23 of Act CLI of 2011 on the Constitutional Court, assigns competence to the Constitutional Court to examine whether an adopted but not yet promulgated law is in line with the Constitution, including its rule of law guarantees, while Article 27 assigns the same competence </w:t>
      </w:r>
      <w:r w:rsidRPr="0055056D">
        <w:rPr>
          <w:i/>
          <w:iCs/>
          <w:color w:val="000000" w:themeColor="text1"/>
          <w:lang w:val="en-US"/>
        </w:rPr>
        <w:t>vis-à-vis</w:t>
      </w:r>
      <w:r w:rsidRPr="0055056D">
        <w:rPr>
          <w:color w:val="000000" w:themeColor="text1"/>
          <w:lang w:val="en-US"/>
        </w:rPr>
        <w:t xml:space="preserve"> laws already in effect. In 2021, the Constitutional Court annulled six legal acts and in 11 cases provided recommendations</w:t>
      </w:r>
      <w:r w:rsidRPr="0055056D">
        <w:rPr>
          <w:rStyle w:val="Rimandonotaapidipagina"/>
          <w:color w:val="000000" w:themeColor="text1"/>
          <w:lang w:val="en-US"/>
        </w:rPr>
        <w:footnoteReference w:id="107"/>
      </w:r>
      <w:r w:rsidRPr="0055056D">
        <w:rPr>
          <w:color w:val="000000" w:themeColor="text1"/>
          <w:lang w:val="en-US"/>
        </w:rPr>
        <w:t xml:space="preserve">. Importantly, the CC does not carry out the norm control </w:t>
      </w:r>
      <w:r w:rsidRPr="0055056D">
        <w:rPr>
          <w:i/>
          <w:iCs/>
          <w:color w:val="000000" w:themeColor="text1"/>
          <w:lang w:val="en-US"/>
        </w:rPr>
        <w:t>ex officio</w:t>
      </w:r>
      <w:r w:rsidRPr="0055056D">
        <w:rPr>
          <w:color w:val="000000" w:themeColor="text1"/>
          <w:lang w:val="en-US"/>
        </w:rPr>
        <w:t xml:space="preserve"> but only acts upon specific request. </w:t>
      </w:r>
    </w:p>
    <w:p w14:paraId="3561E006" w14:textId="77777777" w:rsidR="005A5730" w:rsidRPr="0055056D" w:rsidRDefault="005A5730" w:rsidP="005A5730">
      <w:pPr>
        <w:pStyle w:val="MBT"/>
        <w:rPr>
          <w:color w:val="000000" w:themeColor="text1"/>
          <w:lang w:val="en-US"/>
        </w:rPr>
      </w:pPr>
      <w:r w:rsidRPr="0055056D">
        <w:rPr>
          <w:color w:val="000000" w:themeColor="text1"/>
          <w:lang w:val="en-US"/>
        </w:rPr>
        <w:t xml:space="preserve">Article 25 of the Act on the CC also provides for a </w:t>
      </w:r>
      <w:r w:rsidRPr="0055056D">
        <w:rPr>
          <w:b/>
          <w:bCs w:val="0"/>
          <w:color w:val="000000" w:themeColor="text1"/>
          <w:lang w:val="en-US"/>
        </w:rPr>
        <w:t xml:space="preserve">judicial referral procedure, akin to the </w:t>
      </w:r>
      <w:r w:rsidRPr="0055056D">
        <w:rPr>
          <w:b/>
          <w:bCs w:val="0"/>
          <w:color w:val="000000" w:themeColor="text1"/>
          <w:lang w:val="en-US"/>
        </w:rPr>
        <w:lastRenderedPageBreak/>
        <w:t xml:space="preserve">preliminary ruling procedure to the CJEU </w:t>
      </w:r>
      <w:r w:rsidRPr="0055056D">
        <w:rPr>
          <w:color w:val="000000" w:themeColor="text1"/>
          <w:lang w:val="en-US"/>
        </w:rPr>
        <w:t xml:space="preserve">as per Article 267 TFEU, whereby the sitting judge in an individual case can suspend the procedure before it on suspicion of unconstitutionality and can request its individual norm control from the Constitutional Court. </w:t>
      </w:r>
    </w:p>
    <w:p w14:paraId="06DC244B" w14:textId="1AA489E5" w:rsidR="005A5730" w:rsidRPr="0055056D" w:rsidRDefault="005A5730" w:rsidP="005A5730">
      <w:pPr>
        <w:pStyle w:val="MBT"/>
        <w:rPr>
          <w:color w:val="000000" w:themeColor="text1"/>
          <w:lang w:val="en-US"/>
        </w:rPr>
      </w:pPr>
      <w:r w:rsidRPr="0055056D">
        <w:rPr>
          <w:color w:val="000000" w:themeColor="text1"/>
          <w:lang w:val="en-US"/>
        </w:rPr>
        <w:t xml:space="preserve">The efficacy of these procedures has remained limited under the use of various types of </w:t>
      </w:r>
      <w:r w:rsidRPr="0055056D">
        <w:rPr>
          <w:b/>
          <w:bCs w:val="0"/>
          <w:color w:val="000000" w:themeColor="text1"/>
          <w:lang w:val="en-US"/>
        </w:rPr>
        <w:t>state of emergency</w:t>
      </w:r>
      <w:r w:rsidRPr="0055056D">
        <w:rPr>
          <w:color w:val="000000" w:themeColor="text1"/>
          <w:lang w:val="en-US"/>
        </w:rPr>
        <w:t xml:space="preserve"> – in the domestic legal order ‘special legal order’- that in practice has been the new normal for the past three years. This is </w:t>
      </w:r>
      <w:proofErr w:type="gramStart"/>
      <w:r w:rsidRPr="0055056D">
        <w:rPr>
          <w:color w:val="000000" w:themeColor="text1"/>
          <w:lang w:val="en-US"/>
        </w:rPr>
        <w:t>despite the fact that</w:t>
      </w:r>
      <w:proofErr w:type="gramEnd"/>
      <w:r w:rsidRPr="0055056D">
        <w:rPr>
          <w:color w:val="000000" w:themeColor="text1"/>
          <w:lang w:val="en-US"/>
        </w:rPr>
        <w:t xml:space="preserve"> Article 54 (7) of the Fundamental Law provides a specific guarantee to ensure that even in a state of emergency, the operation of the Constitutional Court cannot be restricted (unlike that of the ordinary courts). After initiating a state of emergency, the Government is obliged to take all measures to guarantee the continuous operation of the Constitutional Court”</w:t>
      </w:r>
      <w:r w:rsidRPr="0055056D">
        <w:rPr>
          <w:rStyle w:val="Rimandonotaapidipagina"/>
          <w:color w:val="000000" w:themeColor="text1"/>
          <w:lang w:val="en-US"/>
        </w:rPr>
        <w:t xml:space="preserve"> </w:t>
      </w:r>
      <w:r w:rsidRPr="0055056D">
        <w:rPr>
          <w:rStyle w:val="Rimandonotaapidipagina"/>
          <w:color w:val="000000" w:themeColor="text1"/>
          <w:lang w:val="en-US"/>
        </w:rPr>
        <w:footnoteReference w:id="108"/>
      </w:r>
      <w:r w:rsidRPr="0055056D">
        <w:rPr>
          <w:color w:val="000000" w:themeColor="text1"/>
          <w:lang w:val="en-US"/>
        </w:rPr>
        <w:t xml:space="preserve">. At the same time, it followed from the above explained standing rules that in fact no cases could reach the CC </w:t>
      </w:r>
      <w:proofErr w:type="gramStart"/>
      <w:r w:rsidRPr="0055056D">
        <w:rPr>
          <w:color w:val="000000" w:themeColor="text1"/>
          <w:lang w:val="en-US"/>
        </w:rPr>
        <w:t>as long as</w:t>
      </w:r>
      <w:proofErr w:type="gramEnd"/>
      <w:r w:rsidRPr="0055056D">
        <w:rPr>
          <w:color w:val="000000" w:themeColor="text1"/>
          <w:lang w:val="en-US"/>
        </w:rPr>
        <w:t xml:space="preserve"> adjudication within the ordinary court system was suspended or limited with reference to the pandemic. It is only the abstract norm control procedure that could have been exercised, however, the initiation of those procedures are limited (to the Government, a quarter of the members of the National Assembly, the President of the Curia, the Chief Prosecutor or the Commissioner of Fundamental Rights</w:t>
      </w:r>
      <w:r w:rsidRPr="0055056D">
        <w:rPr>
          <w:rStyle w:val="Rimandonotaapidipagina"/>
          <w:color w:val="000000" w:themeColor="text1"/>
          <w:lang w:val="en-US"/>
        </w:rPr>
        <w:footnoteReference w:id="109"/>
      </w:r>
      <w:r w:rsidRPr="0055056D">
        <w:rPr>
          <w:color w:val="000000" w:themeColor="text1"/>
          <w:lang w:val="en-US"/>
        </w:rPr>
        <w:t>), i.e., officials whose independence from the government has long been called into question, including due their reluctance to challenge politically sensitive matters</w:t>
      </w:r>
      <w:r w:rsidRPr="0055056D">
        <w:rPr>
          <w:rStyle w:val="Rimandonotaapidipagina"/>
          <w:color w:val="000000" w:themeColor="text1"/>
          <w:lang w:val="en-US"/>
        </w:rPr>
        <w:footnoteReference w:id="110"/>
      </w:r>
      <w:r w:rsidRPr="0055056D">
        <w:rPr>
          <w:color w:val="000000" w:themeColor="text1"/>
          <w:lang w:val="en-US"/>
        </w:rPr>
        <w:t xml:space="preserve">. </w:t>
      </w:r>
    </w:p>
    <w:p w14:paraId="46690A1E" w14:textId="77777777" w:rsidR="005A5730" w:rsidRPr="0055056D" w:rsidRDefault="005A5730" w:rsidP="005A5730">
      <w:pPr>
        <w:pStyle w:val="MBT"/>
      </w:pPr>
      <w:r w:rsidRPr="0055056D">
        <w:rPr>
          <w:color w:val="000000" w:themeColor="text1"/>
          <w:lang w:val="en-US"/>
        </w:rPr>
        <w:t xml:space="preserve">Accordingly, neither of the above outlined procedures meant a meaningful check on the expansion of executive power in practice. This is </w:t>
      </w:r>
      <w:proofErr w:type="gramStart"/>
      <w:r w:rsidRPr="0055056D">
        <w:rPr>
          <w:color w:val="000000" w:themeColor="text1"/>
          <w:lang w:val="en-US"/>
        </w:rPr>
        <w:t>despite the fact that</w:t>
      </w:r>
      <w:proofErr w:type="gramEnd"/>
      <w:r w:rsidRPr="0055056D">
        <w:rPr>
          <w:color w:val="000000" w:themeColor="text1"/>
          <w:lang w:val="en-US"/>
        </w:rPr>
        <w:t xml:space="preserve"> it has for years been extensively documented how the government used the declaration of a ‘state of danger’ to rule by decree. As a result, it has circumvented the statutory safeguards built in the ordinary legislative procedure and has also routinely overstepped parliamentary authorization and uses its decree power to regulate matters unrelated to the pandemic and to </w:t>
      </w:r>
      <w:r w:rsidRPr="0055056D">
        <w:t>overrule judicial decisions and limit the exercise of fundamental rights, such as media freedom</w:t>
      </w:r>
      <w:r w:rsidRPr="0055056D">
        <w:rPr>
          <w:rStyle w:val="Rimandonotaapidipagina"/>
        </w:rPr>
        <w:footnoteReference w:id="111"/>
      </w:r>
      <w:r w:rsidRPr="0055056D">
        <w:t>. Recent examples include the ban of the media from Hungarian hospitals - despite the Hungarian Medical Association along with 28 media platforms requesting the lifting of the ban</w:t>
      </w:r>
      <w:r w:rsidRPr="0055056D">
        <w:rPr>
          <w:rStyle w:val="Rimandonotaapidipagina"/>
        </w:rPr>
        <w:footnoteReference w:id="112"/>
      </w:r>
      <w:r w:rsidRPr="0055056D">
        <w:t>. When the Budapest Regional Court’s ruling</w:t>
      </w:r>
      <w:r w:rsidRPr="0055056D">
        <w:rPr>
          <w:rStyle w:val="Rimandonotaapidipagina"/>
        </w:rPr>
        <w:footnoteReference w:id="113"/>
      </w:r>
      <w:r w:rsidRPr="0055056D">
        <w:t xml:space="preserve"> quashed the ministerial decision banning access, the government issued yet another government decree</w:t>
      </w:r>
      <w:r w:rsidRPr="0055056D">
        <w:rPr>
          <w:rStyle w:val="Rimandonotaapidipagina"/>
        </w:rPr>
        <w:footnoteReference w:id="114"/>
      </w:r>
      <w:r w:rsidRPr="0055056D">
        <w:t xml:space="preserve"> giving </w:t>
      </w:r>
      <w:r w:rsidRPr="0055056D">
        <w:rPr>
          <w:i/>
          <w:iCs/>
        </w:rPr>
        <w:t xml:space="preserve">de </w:t>
      </w:r>
      <w:proofErr w:type="spellStart"/>
      <w:r w:rsidRPr="0055056D">
        <w:rPr>
          <w:i/>
          <w:iCs/>
        </w:rPr>
        <w:t>lege</w:t>
      </w:r>
      <w:proofErr w:type="spellEnd"/>
      <w:r w:rsidRPr="0055056D">
        <w:t xml:space="preserve"> authorisation to administrative authorities, such as the ministry in question, to regulate contact between hospitals and the media</w:t>
      </w:r>
      <w:r w:rsidRPr="0055056D">
        <w:rPr>
          <w:rStyle w:val="Rimandonotaapidipagina"/>
        </w:rPr>
        <w:footnoteReference w:id="115"/>
      </w:r>
      <w:r w:rsidRPr="0055056D">
        <w:t xml:space="preserve">. </w:t>
      </w:r>
    </w:p>
    <w:p w14:paraId="4D9A9F41" w14:textId="5FD02B66" w:rsidR="005A5730" w:rsidRPr="0055056D" w:rsidRDefault="005A5730" w:rsidP="005A5730">
      <w:pPr>
        <w:pStyle w:val="MBT"/>
        <w:rPr>
          <w:color w:val="000000" w:themeColor="text1"/>
          <w:lang w:val="en-US"/>
        </w:rPr>
      </w:pPr>
      <w:r w:rsidRPr="0055056D">
        <w:rPr>
          <w:color w:val="000000" w:themeColor="text1"/>
          <w:lang w:val="en-US"/>
        </w:rPr>
        <w:t>Lastly, the role of the Constitutional Court processes as a guard of the rule of law have been called into question, especially, due to the insertion of Article 24 (2)d) in the Fundamental Law via the Fourth Amendment, whereby the CC acquired competence to review the consistency of a final judicial decision with the Fundamental Law based on a constitutional complaint. This has not only increased the tensions between the CC and ordinary courts</w:t>
      </w:r>
      <w:r w:rsidRPr="0055056D">
        <w:rPr>
          <w:rStyle w:val="Rimandonotaapidipagina"/>
          <w:color w:val="000000" w:themeColor="text1"/>
          <w:lang w:val="en-US"/>
        </w:rPr>
        <w:footnoteReference w:id="116"/>
      </w:r>
      <w:r w:rsidRPr="0055056D">
        <w:rPr>
          <w:color w:val="000000" w:themeColor="text1"/>
          <w:lang w:val="en-US"/>
        </w:rPr>
        <w:t xml:space="preserve">, as the CC can annul already final decisions, but has also created a </w:t>
      </w:r>
      <w:r w:rsidRPr="0055056D">
        <w:rPr>
          <w:i/>
          <w:color w:val="000000" w:themeColor="text1"/>
          <w:lang w:val="en-US"/>
        </w:rPr>
        <w:t>de facto</w:t>
      </w:r>
      <w:r w:rsidRPr="0055056D">
        <w:rPr>
          <w:color w:val="000000" w:themeColor="text1"/>
          <w:lang w:val="en-US"/>
        </w:rPr>
        <w:t xml:space="preserve"> fourth instance in the domestic justice system, which the </w:t>
      </w:r>
      <w:r w:rsidRPr="0055056D">
        <w:rPr>
          <w:color w:val="000000" w:themeColor="text1"/>
          <w:lang w:val="en-US"/>
        </w:rPr>
        <w:lastRenderedPageBreak/>
        <w:t>CC has reportedly used to overrule ordinary courts in politically sensitive cases</w:t>
      </w:r>
      <w:r w:rsidRPr="0055056D">
        <w:rPr>
          <w:rStyle w:val="Rimandonotaapidipagina"/>
          <w:color w:val="000000" w:themeColor="text1"/>
          <w:lang w:val="en-US"/>
        </w:rPr>
        <w:footnoteReference w:id="117"/>
      </w:r>
      <w:r w:rsidRPr="0055056D">
        <w:rPr>
          <w:color w:val="000000" w:themeColor="text1"/>
          <w:lang w:val="en-US"/>
        </w:rPr>
        <w:t>. In this context, it is important to recall that the judges of the Constitutional Court are elected by the Parliament, and not nominated by the judiciary. Among others, in its most recent decisions, the CC annulled the Supreme Court, in the Hungarian terminology Curia (</w:t>
      </w:r>
      <w:proofErr w:type="spellStart"/>
      <w:r w:rsidRPr="0055056D">
        <w:rPr>
          <w:i/>
          <w:iCs/>
          <w:color w:val="000000" w:themeColor="text1"/>
          <w:lang w:val="en-US"/>
        </w:rPr>
        <w:t>Kúria</w:t>
      </w:r>
      <w:proofErr w:type="spellEnd"/>
      <w:r w:rsidRPr="0055056D">
        <w:rPr>
          <w:color w:val="000000" w:themeColor="text1"/>
          <w:lang w:val="en-US"/>
        </w:rPr>
        <w:t>)), decision and found it unconstitutional to hold a national referendum about a controversial high-investment project to develop in Budapest a campus for the Chinese Fudan University</w:t>
      </w:r>
      <w:r w:rsidRPr="0055056D">
        <w:rPr>
          <w:rStyle w:val="Rimandonotaapidipagina"/>
          <w:color w:val="000000" w:themeColor="text1"/>
          <w:lang w:val="en-US"/>
        </w:rPr>
        <w:footnoteReference w:id="118"/>
      </w:r>
      <w:r w:rsidRPr="0055056D">
        <w:rPr>
          <w:color w:val="000000" w:themeColor="text1"/>
          <w:lang w:val="en-US"/>
        </w:rPr>
        <w:t>, which in its Founding Declaration pledged the service of the Chinese Communist Party.</w:t>
      </w:r>
    </w:p>
    <w:p w14:paraId="2862B96D" w14:textId="37D0EEE2" w:rsidR="00EF1142" w:rsidRPr="0055056D" w:rsidRDefault="000C6707" w:rsidP="005879E5">
      <w:pPr>
        <w:spacing w:after="160" w:line="259" w:lineRule="auto"/>
        <w:jc w:val="both"/>
        <w:rPr>
          <w:rFonts w:ascii="Arial" w:eastAsia="Calibri" w:hAnsi="Arial" w:cs="Arial"/>
          <w:sz w:val="22"/>
          <w:szCs w:val="22"/>
          <w:lang w:eastAsia="en-US"/>
        </w:rPr>
      </w:pPr>
      <w:r w:rsidRPr="0055056D">
        <w:rPr>
          <w:rFonts w:ascii="Arial" w:eastAsia="Calibri" w:hAnsi="Arial" w:cs="Arial"/>
          <w:sz w:val="22"/>
          <w:szCs w:val="22"/>
          <w:lang w:eastAsia="en-US"/>
        </w:rPr>
        <w:t xml:space="preserve">Pursuant to Article 28 of the Fundamental Law, </w:t>
      </w:r>
      <w:r w:rsidR="00C62E2D" w:rsidRPr="0055056D">
        <w:rPr>
          <w:rFonts w:ascii="Arial" w:eastAsia="Calibri" w:hAnsi="Arial" w:cs="Arial"/>
          <w:sz w:val="22"/>
          <w:szCs w:val="22"/>
          <w:lang w:eastAsia="en-US"/>
        </w:rPr>
        <w:t>“</w:t>
      </w:r>
      <w:r w:rsidRPr="0055056D">
        <w:rPr>
          <w:rFonts w:ascii="Arial" w:eastAsia="Calibri" w:hAnsi="Arial" w:cs="Arial"/>
          <w:sz w:val="22"/>
          <w:szCs w:val="22"/>
          <w:lang w:eastAsia="en-US"/>
        </w:rPr>
        <w:t>in the course of the application of law, courts shall interpret the text of laws primarily in accordance with their purpose and with the Fundamental Law</w:t>
      </w:r>
      <w:r w:rsidR="006D167A" w:rsidRPr="0055056D">
        <w:rPr>
          <w:rFonts w:ascii="Arial" w:eastAsia="Calibri" w:hAnsi="Arial" w:cs="Arial"/>
          <w:sz w:val="22"/>
          <w:szCs w:val="22"/>
          <w:lang w:eastAsia="en-US"/>
        </w:rPr>
        <w:t>”.</w:t>
      </w:r>
      <w:r w:rsidR="00B737ED" w:rsidRPr="0055056D">
        <w:rPr>
          <w:rFonts w:ascii="Arial" w:eastAsia="Calibri" w:hAnsi="Arial" w:cs="Arial"/>
          <w:sz w:val="22"/>
          <w:szCs w:val="22"/>
          <w:lang w:eastAsia="en-US"/>
        </w:rPr>
        <w:t xml:space="preserve"> </w:t>
      </w:r>
      <w:r w:rsidR="00EF1142" w:rsidRPr="0055056D">
        <w:rPr>
          <w:rFonts w:ascii="Arial" w:eastAsia="Calibri" w:hAnsi="Arial" w:cs="Arial"/>
          <w:sz w:val="22"/>
          <w:szCs w:val="22"/>
          <w:lang w:eastAsia="en-US"/>
        </w:rPr>
        <w:t xml:space="preserve">However, </w:t>
      </w:r>
      <w:r w:rsidR="00043409" w:rsidRPr="0055056D">
        <w:rPr>
          <w:rFonts w:ascii="Arial" w:eastAsia="Calibri" w:hAnsi="Arial" w:cs="Arial"/>
          <w:sz w:val="22"/>
          <w:szCs w:val="22"/>
          <w:lang w:eastAsia="en-US"/>
        </w:rPr>
        <w:t xml:space="preserve">as indicated </w:t>
      </w:r>
      <w:r w:rsidR="00C56ABB" w:rsidRPr="0055056D">
        <w:rPr>
          <w:rFonts w:ascii="Arial" w:eastAsia="Calibri" w:hAnsi="Arial" w:cs="Arial"/>
          <w:sz w:val="22"/>
          <w:szCs w:val="22"/>
          <w:lang w:eastAsia="en-US"/>
        </w:rPr>
        <w:t xml:space="preserve">in Section 2.4 </w:t>
      </w:r>
      <w:r w:rsidR="00043409" w:rsidRPr="0055056D">
        <w:rPr>
          <w:rFonts w:ascii="Arial" w:eastAsia="Calibri" w:hAnsi="Arial" w:cs="Arial"/>
          <w:sz w:val="22"/>
          <w:szCs w:val="22"/>
          <w:lang w:eastAsia="en-US"/>
        </w:rPr>
        <w:t xml:space="preserve">above, </w:t>
      </w:r>
      <w:r w:rsidR="00021295" w:rsidRPr="0055056D">
        <w:rPr>
          <w:rFonts w:ascii="Arial" w:eastAsia="Calibri" w:hAnsi="Arial" w:cs="Arial"/>
          <w:sz w:val="22"/>
          <w:szCs w:val="22"/>
          <w:lang w:eastAsia="en-US"/>
        </w:rPr>
        <w:t xml:space="preserve">the </w:t>
      </w:r>
      <w:r w:rsidR="00621705" w:rsidRPr="0055056D">
        <w:rPr>
          <w:rFonts w:ascii="Arial" w:eastAsia="Calibri" w:hAnsi="Arial" w:cs="Arial"/>
          <w:sz w:val="22"/>
          <w:szCs w:val="22"/>
          <w:lang w:eastAsia="en-US"/>
        </w:rPr>
        <w:t>independence of the judiciary</w:t>
      </w:r>
      <w:r w:rsidR="00C438B5" w:rsidRPr="0055056D">
        <w:rPr>
          <w:rFonts w:ascii="Arial" w:eastAsia="Calibri" w:hAnsi="Arial" w:cs="Arial"/>
          <w:sz w:val="22"/>
          <w:szCs w:val="22"/>
          <w:lang w:eastAsia="en-US"/>
        </w:rPr>
        <w:t xml:space="preserve">, </w:t>
      </w:r>
      <w:proofErr w:type="gramStart"/>
      <w:r w:rsidR="00C438B5" w:rsidRPr="0055056D">
        <w:rPr>
          <w:rFonts w:ascii="Arial" w:eastAsia="Calibri" w:hAnsi="Arial" w:cs="Arial"/>
          <w:sz w:val="22"/>
          <w:szCs w:val="22"/>
          <w:lang w:eastAsia="en-US"/>
        </w:rPr>
        <w:t>in particular of</w:t>
      </w:r>
      <w:proofErr w:type="gramEnd"/>
      <w:r w:rsidR="00C438B5" w:rsidRPr="0055056D">
        <w:rPr>
          <w:rFonts w:ascii="Arial" w:eastAsia="Calibri" w:hAnsi="Arial" w:cs="Arial"/>
          <w:sz w:val="22"/>
          <w:szCs w:val="22"/>
          <w:lang w:eastAsia="en-US"/>
        </w:rPr>
        <w:t xml:space="preserve"> the Curia,</w:t>
      </w:r>
      <w:r w:rsidR="00621705" w:rsidRPr="0055056D">
        <w:rPr>
          <w:rFonts w:ascii="Arial" w:eastAsia="Calibri" w:hAnsi="Arial" w:cs="Arial"/>
          <w:sz w:val="22"/>
          <w:szCs w:val="22"/>
          <w:lang w:eastAsia="en-US"/>
        </w:rPr>
        <w:t xml:space="preserve"> </w:t>
      </w:r>
      <w:r w:rsidR="0042402E" w:rsidRPr="0055056D">
        <w:rPr>
          <w:rFonts w:ascii="Arial" w:eastAsia="Calibri" w:hAnsi="Arial" w:cs="Arial"/>
          <w:sz w:val="22"/>
          <w:szCs w:val="22"/>
          <w:lang w:eastAsia="en-US"/>
        </w:rPr>
        <w:t>has been seriously undermined</w:t>
      </w:r>
      <w:r w:rsidR="00C56151" w:rsidRPr="0055056D">
        <w:rPr>
          <w:rFonts w:ascii="Arial" w:eastAsia="Calibri" w:hAnsi="Arial" w:cs="Arial"/>
          <w:sz w:val="22"/>
          <w:szCs w:val="22"/>
          <w:lang w:eastAsia="en-US"/>
        </w:rPr>
        <w:t xml:space="preserve"> </w:t>
      </w:r>
      <w:r w:rsidR="00483C2B" w:rsidRPr="0055056D">
        <w:rPr>
          <w:rFonts w:ascii="Arial" w:eastAsia="Calibri" w:hAnsi="Arial" w:cs="Arial"/>
          <w:sz w:val="22"/>
          <w:szCs w:val="22"/>
          <w:lang w:eastAsia="en-US"/>
        </w:rPr>
        <w:t xml:space="preserve">by the ruling party, </w:t>
      </w:r>
      <w:r w:rsidR="00350AA0" w:rsidRPr="0055056D">
        <w:rPr>
          <w:rFonts w:ascii="Arial" w:eastAsia="Calibri" w:hAnsi="Arial" w:cs="Arial"/>
          <w:sz w:val="22"/>
          <w:szCs w:val="22"/>
          <w:lang w:eastAsia="en-US"/>
        </w:rPr>
        <w:t>which</w:t>
      </w:r>
      <w:r w:rsidR="0009793F" w:rsidRPr="0055056D">
        <w:rPr>
          <w:rFonts w:ascii="Arial" w:eastAsia="Calibri" w:hAnsi="Arial" w:cs="Arial"/>
          <w:sz w:val="22"/>
          <w:szCs w:val="22"/>
          <w:lang w:eastAsia="en-US"/>
        </w:rPr>
        <w:t xml:space="preserve"> also affect</w:t>
      </w:r>
      <w:r w:rsidR="0055793E" w:rsidRPr="0055056D">
        <w:rPr>
          <w:rFonts w:ascii="Arial" w:eastAsia="Calibri" w:hAnsi="Arial" w:cs="Arial"/>
          <w:sz w:val="22"/>
          <w:szCs w:val="22"/>
          <w:lang w:eastAsia="en-US"/>
        </w:rPr>
        <w:t>s</w:t>
      </w:r>
      <w:r w:rsidR="0009793F" w:rsidRPr="0055056D">
        <w:rPr>
          <w:rFonts w:ascii="Arial" w:eastAsia="Calibri" w:hAnsi="Arial" w:cs="Arial"/>
          <w:sz w:val="22"/>
          <w:szCs w:val="22"/>
          <w:lang w:eastAsia="en-US"/>
        </w:rPr>
        <w:t xml:space="preserve"> the outcome of the judicial decisions </w:t>
      </w:r>
      <w:r w:rsidR="00B66DF7" w:rsidRPr="0055056D">
        <w:rPr>
          <w:rFonts w:ascii="Arial" w:eastAsia="Calibri" w:hAnsi="Arial" w:cs="Arial"/>
          <w:sz w:val="22"/>
          <w:szCs w:val="22"/>
          <w:lang w:eastAsia="en-US"/>
        </w:rPr>
        <w:t>addressing threats to the rule of law and fundamental rights.</w:t>
      </w:r>
    </w:p>
    <w:p w14:paraId="681B7BD1" w14:textId="455D96B4" w:rsidR="00F317BD" w:rsidRPr="0055056D" w:rsidRDefault="00C50A17" w:rsidP="005879E5">
      <w:pPr>
        <w:spacing w:after="160" w:line="259" w:lineRule="auto"/>
        <w:jc w:val="both"/>
        <w:rPr>
          <w:rFonts w:ascii="Arial" w:eastAsia="Calibri" w:hAnsi="Arial" w:cs="Arial"/>
          <w:sz w:val="22"/>
          <w:szCs w:val="22"/>
          <w:lang w:eastAsia="en-US"/>
        </w:rPr>
      </w:pPr>
      <w:r w:rsidRPr="0055056D">
        <w:rPr>
          <w:rFonts w:ascii="Arial" w:eastAsia="Calibri" w:hAnsi="Arial" w:cs="Arial"/>
          <w:sz w:val="22"/>
          <w:szCs w:val="22"/>
          <w:lang w:eastAsia="en-US"/>
        </w:rPr>
        <w:t>One prominent example is</w:t>
      </w:r>
      <w:r w:rsidR="003850A1" w:rsidRPr="0055056D" w:rsidDel="00094600">
        <w:rPr>
          <w:rFonts w:ascii="Arial" w:eastAsia="Calibri" w:hAnsi="Arial" w:cs="Arial"/>
          <w:sz w:val="22"/>
          <w:szCs w:val="22"/>
          <w:lang w:eastAsia="en-US"/>
        </w:rPr>
        <w:t xml:space="preserve"> </w:t>
      </w:r>
      <w:r w:rsidR="00094600" w:rsidRPr="0055056D">
        <w:rPr>
          <w:rFonts w:ascii="Arial" w:eastAsia="Calibri" w:hAnsi="Arial" w:cs="Arial"/>
          <w:sz w:val="22"/>
          <w:szCs w:val="22"/>
          <w:lang w:eastAsia="en-US"/>
        </w:rPr>
        <w:t xml:space="preserve">the </w:t>
      </w:r>
      <w:r w:rsidR="003850A1" w:rsidRPr="0055056D">
        <w:rPr>
          <w:rFonts w:ascii="Arial" w:eastAsia="Calibri" w:hAnsi="Arial" w:cs="Arial"/>
          <w:sz w:val="22"/>
          <w:szCs w:val="22"/>
          <w:lang w:eastAsia="en-US"/>
        </w:rPr>
        <w:t>2021</w:t>
      </w:r>
      <w:r w:rsidR="003850A1" w:rsidRPr="0055056D" w:rsidDel="00094600">
        <w:rPr>
          <w:rFonts w:ascii="Arial" w:eastAsia="Calibri" w:hAnsi="Arial" w:cs="Arial"/>
          <w:sz w:val="22"/>
          <w:szCs w:val="22"/>
          <w:lang w:eastAsia="en-US"/>
        </w:rPr>
        <w:t xml:space="preserve"> </w:t>
      </w:r>
      <w:r w:rsidR="003850A1" w:rsidRPr="0055056D">
        <w:rPr>
          <w:rFonts w:ascii="Arial" w:eastAsia="Calibri" w:hAnsi="Arial" w:cs="Arial"/>
          <w:sz w:val="22"/>
          <w:szCs w:val="22"/>
          <w:lang w:eastAsia="en-US"/>
        </w:rPr>
        <w:t>“referendum for child protection”</w:t>
      </w:r>
      <w:r w:rsidR="00094600" w:rsidRPr="0055056D">
        <w:rPr>
          <w:rFonts w:ascii="Arial" w:eastAsia="Calibri" w:hAnsi="Arial" w:cs="Arial"/>
          <w:sz w:val="22"/>
          <w:szCs w:val="22"/>
          <w:lang w:eastAsia="en-US"/>
        </w:rPr>
        <w:t xml:space="preserve"> initiated by the government</w:t>
      </w:r>
      <w:r w:rsidR="003850A1" w:rsidRPr="0055056D">
        <w:rPr>
          <w:rFonts w:ascii="Arial" w:eastAsia="Calibri" w:hAnsi="Arial" w:cs="Arial"/>
          <w:sz w:val="22"/>
          <w:szCs w:val="22"/>
          <w:lang w:eastAsia="en-US"/>
        </w:rPr>
        <w:t xml:space="preserve">, which was </w:t>
      </w:r>
      <w:proofErr w:type="gramStart"/>
      <w:r w:rsidR="003850A1" w:rsidRPr="0055056D">
        <w:rPr>
          <w:rFonts w:ascii="Arial" w:eastAsia="Calibri" w:hAnsi="Arial" w:cs="Arial"/>
          <w:sz w:val="22"/>
          <w:szCs w:val="22"/>
          <w:lang w:eastAsia="en-US"/>
        </w:rPr>
        <w:t>actually part</w:t>
      </w:r>
      <w:proofErr w:type="gramEnd"/>
      <w:r w:rsidR="003850A1" w:rsidRPr="0055056D">
        <w:rPr>
          <w:rFonts w:ascii="Arial" w:eastAsia="Calibri" w:hAnsi="Arial" w:cs="Arial"/>
          <w:sz w:val="22"/>
          <w:szCs w:val="22"/>
          <w:lang w:eastAsia="en-US"/>
        </w:rPr>
        <w:t xml:space="preserve"> of a hate campaign against LGBTIQ persons</w:t>
      </w:r>
      <w:r w:rsidR="003850A1" w:rsidRPr="0055056D">
        <w:rPr>
          <w:rFonts w:ascii="Arial" w:eastAsia="Calibri" w:hAnsi="Arial" w:cs="Arial"/>
          <w:sz w:val="22"/>
          <w:szCs w:val="22"/>
          <w:vertAlign w:val="superscript"/>
          <w:lang w:eastAsia="en-US"/>
        </w:rPr>
        <w:footnoteReference w:id="119"/>
      </w:r>
      <w:r w:rsidR="003850A1" w:rsidRPr="0055056D">
        <w:rPr>
          <w:rFonts w:ascii="Arial" w:eastAsia="Calibri" w:hAnsi="Arial" w:cs="Arial"/>
          <w:sz w:val="22"/>
          <w:szCs w:val="22"/>
          <w:lang w:eastAsia="en-US"/>
        </w:rPr>
        <w:t xml:space="preserve">. The government planned to organise the referendum together with the general elections in April 2022 which was not possible under </w:t>
      </w:r>
      <w:r w:rsidR="00C57AB3" w:rsidRPr="0055056D">
        <w:rPr>
          <w:rFonts w:ascii="Arial" w:eastAsia="Calibri" w:hAnsi="Arial" w:cs="Arial"/>
          <w:sz w:val="22"/>
          <w:szCs w:val="22"/>
          <w:lang w:eastAsia="en-US"/>
        </w:rPr>
        <w:t>the election law in effect</w:t>
      </w:r>
      <w:r w:rsidR="003850A1" w:rsidRPr="0055056D">
        <w:rPr>
          <w:rFonts w:ascii="Arial" w:eastAsia="Calibri" w:hAnsi="Arial" w:cs="Arial"/>
          <w:sz w:val="22"/>
          <w:szCs w:val="22"/>
          <w:lang w:eastAsia="en-US"/>
        </w:rPr>
        <w:t xml:space="preserve">. Therefore, a legislative amendment was initiated and approved, allowing for holding the referendum on the same </w:t>
      </w:r>
      <w:r w:rsidR="00043715" w:rsidRPr="0055056D">
        <w:rPr>
          <w:rFonts w:ascii="Arial" w:eastAsia="Calibri" w:hAnsi="Arial" w:cs="Arial"/>
          <w:sz w:val="22"/>
          <w:szCs w:val="22"/>
          <w:lang w:eastAsia="en-US"/>
        </w:rPr>
        <w:t>d</w:t>
      </w:r>
      <w:r w:rsidR="003850A1" w:rsidRPr="0055056D">
        <w:rPr>
          <w:rFonts w:ascii="Arial" w:eastAsia="Calibri" w:hAnsi="Arial" w:cs="Arial"/>
          <w:sz w:val="22"/>
          <w:szCs w:val="22"/>
          <w:lang w:eastAsia="en-US"/>
        </w:rPr>
        <w:t>ay as the parliamentary elections</w:t>
      </w:r>
      <w:r w:rsidR="003850A1" w:rsidRPr="0055056D">
        <w:rPr>
          <w:rFonts w:ascii="Arial" w:eastAsia="Calibri" w:hAnsi="Arial" w:cs="Arial"/>
          <w:sz w:val="22"/>
          <w:szCs w:val="22"/>
          <w:vertAlign w:val="superscript"/>
          <w:lang w:eastAsia="en-US"/>
        </w:rPr>
        <w:footnoteReference w:id="120"/>
      </w:r>
      <w:r w:rsidR="003850A1" w:rsidRPr="0055056D">
        <w:rPr>
          <w:rFonts w:ascii="Arial" w:eastAsia="Calibri" w:hAnsi="Arial" w:cs="Arial"/>
          <w:sz w:val="22"/>
          <w:szCs w:val="22"/>
          <w:lang w:eastAsia="en-US"/>
        </w:rPr>
        <w:t xml:space="preserve">. </w:t>
      </w:r>
      <w:r w:rsidR="002033EE" w:rsidRPr="0055056D">
        <w:rPr>
          <w:rFonts w:ascii="Arial" w:eastAsia="Calibri" w:hAnsi="Arial" w:cs="Arial"/>
          <w:sz w:val="22"/>
          <w:szCs w:val="22"/>
          <w:lang w:eastAsia="en-US"/>
        </w:rPr>
        <w:t>The questions played on populist sentiments and a fearmongering campaign against the LGBTI</w:t>
      </w:r>
      <w:r w:rsidR="00700B64" w:rsidRPr="0055056D">
        <w:rPr>
          <w:rFonts w:ascii="Arial" w:eastAsia="Calibri" w:hAnsi="Arial" w:cs="Arial"/>
          <w:sz w:val="22"/>
          <w:szCs w:val="22"/>
          <w:lang w:eastAsia="en-US"/>
        </w:rPr>
        <w:t>Q</w:t>
      </w:r>
      <w:r w:rsidR="002033EE" w:rsidRPr="0055056D">
        <w:rPr>
          <w:rFonts w:ascii="Arial" w:eastAsia="Calibri" w:hAnsi="Arial" w:cs="Arial"/>
          <w:sz w:val="22"/>
          <w:szCs w:val="22"/>
          <w:lang w:eastAsia="en-US"/>
        </w:rPr>
        <w:t xml:space="preserve"> communit</w:t>
      </w:r>
      <w:r w:rsidR="0025406F" w:rsidRPr="0055056D">
        <w:rPr>
          <w:rFonts w:ascii="Arial" w:eastAsia="Calibri" w:hAnsi="Arial" w:cs="Arial"/>
          <w:sz w:val="22"/>
          <w:szCs w:val="22"/>
          <w:lang w:eastAsia="en-US"/>
        </w:rPr>
        <w:t>y that prom</w:t>
      </w:r>
      <w:r w:rsidR="0038418F" w:rsidRPr="0055056D">
        <w:rPr>
          <w:rFonts w:ascii="Arial" w:eastAsia="Calibri" w:hAnsi="Arial" w:cs="Arial"/>
          <w:sz w:val="22"/>
          <w:szCs w:val="22"/>
          <w:lang w:eastAsia="en-US"/>
        </w:rPr>
        <w:t>p</w:t>
      </w:r>
      <w:r w:rsidR="0025406F" w:rsidRPr="0055056D">
        <w:rPr>
          <w:rFonts w:ascii="Arial" w:eastAsia="Calibri" w:hAnsi="Arial" w:cs="Arial"/>
          <w:sz w:val="22"/>
          <w:szCs w:val="22"/>
          <w:lang w:eastAsia="en-US"/>
        </w:rPr>
        <w:t>ted</w:t>
      </w:r>
      <w:r w:rsidR="003A67CA" w:rsidRPr="0055056D">
        <w:rPr>
          <w:rFonts w:ascii="Arial" w:eastAsia="Calibri" w:hAnsi="Arial" w:cs="Arial"/>
          <w:sz w:val="22"/>
          <w:szCs w:val="22"/>
          <w:lang w:eastAsia="en-US"/>
        </w:rPr>
        <w:t xml:space="preserve"> human rights organisation to encourage the casting of an invalid vote on the referendum</w:t>
      </w:r>
      <w:r w:rsidR="00043715" w:rsidRPr="0055056D">
        <w:rPr>
          <w:rFonts w:ascii="Arial" w:eastAsia="Calibri" w:hAnsi="Arial" w:cs="Arial"/>
          <w:sz w:val="22"/>
          <w:szCs w:val="22"/>
          <w:lang w:eastAsia="en-US"/>
        </w:rPr>
        <w:t>. The referendum questions</w:t>
      </w:r>
      <w:r w:rsidR="00F307E0" w:rsidRPr="0055056D">
        <w:rPr>
          <w:rFonts w:ascii="Arial" w:eastAsia="Calibri" w:hAnsi="Arial" w:cs="Arial"/>
          <w:sz w:val="22"/>
          <w:szCs w:val="22"/>
          <w:lang w:eastAsia="en-US"/>
        </w:rPr>
        <w:t xml:space="preserve"> and the massive campaign surrounding it</w:t>
      </w:r>
      <w:r w:rsidR="00116032" w:rsidRPr="0055056D">
        <w:rPr>
          <w:rFonts w:ascii="Arial" w:eastAsia="Calibri" w:hAnsi="Arial" w:cs="Arial"/>
          <w:sz w:val="22"/>
          <w:szCs w:val="22"/>
          <w:lang w:eastAsia="en-US"/>
        </w:rPr>
        <w:t xml:space="preserve"> </w:t>
      </w:r>
      <w:r w:rsidR="0093584B" w:rsidRPr="0055056D">
        <w:rPr>
          <w:rFonts w:ascii="Arial" w:eastAsia="Calibri" w:hAnsi="Arial" w:cs="Arial"/>
          <w:sz w:val="22"/>
          <w:szCs w:val="22"/>
          <w:lang w:eastAsia="en-US"/>
        </w:rPr>
        <w:t xml:space="preserve">systematically </w:t>
      </w:r>
      <w:r w:rsidR="00B5766F" w:rsidRPr="0055056D">
        <w:rPr>
          <w:rFonts w:ascii="Arial" w:eastAsia="Calibri" w:hAnsi="Arial" w:cs="Arial"/>
          <w:sz w:val="22"/>
          <w:szCs w:val="22"/>
          <w:lang w:eastAsia="en-US"/>
        </w:rPr>
        <w:t>confla</w:t>
      </w:r>
      <w:r w:rsidR="009647E8" w:rsidRPr="0055056D">
        <w:rPr>
          <w:rFonts w:ascii="Arial" w:eastAsia="Calibri" w:hAnsi="Arial" w:cs="Arial"/>
          <w:sz w:val="22"/>
          <w:szCs w:val="22"/>
          <w:lang w:eastAsia="en-US"/>
        </w:rPr>
        <w:t>t</w:t>
      </w:r>
      <w:r w:rsidR="00B5766F" w:rsidRPr="0055056D">
        <w:rPr>
          <w:rFonts w:ascii="Arial" w:eastAsia="Calibri" w:hAnsi="Arial" w:cs="Arial"/>
          <w:sz w:val="22"/>
          <w:szCs w:val="22"/>
          <w:lang w:eastAsia="en-US"/>
        </w:rPr>
        <w:t>ed</w:t>
      </w:r>
      <w:r w:rsidR="00E50C28" w:rsidRPr="0055056D">
        <w:rPr>
          <w:rFonts w:ascii="Arial" w:eastAsia="Calibri" w:hAnsi="Arial" w:cs="Arial"/>
          <w:sz w:val="22"/>
          <w:szCs w:val="22"/>
          <w:lang w:eastAsia="en-US"/>
        </w:rPr>
        <w:t xml:space="preserve"> (and equated) </w:t>
      </w:r>
      <w:r w:rsidR="00423FA3" w:rsidRPr="0055056D">
        <w:rPr>
          <w:rFonts w:ascii="Arial" w:eastAsia="Calibri" w:hAnsi="Arial" w:cs="Arial"/>
          <w:sz w:val="22"/>
          <w:szCs w:val="22"/>
          <w:lang w:eastAsia="en-US"/>
        </w:rPr>
        <w:t>homosexuality and</w:t>
      </w:r>
      <w:r w:rsidR="00F307E0" w:rsidRPr="0055056D">
        <w:rPr>
          <w:rFonts w:ascii="Arial" w:eastAsia="Calibri" w:hAnsi="Arial" w:cs="Arial"/>
          <w:sz w:val="22"/>
          <w:szCs w:val="22"/>
          <w:lang w:eastAsia="en-US"/>
        </w:rPr>
        <w:t xml:space="preserve"> </w:t>
      </w:r>
      <w:r w:rsidR="00E72A51" w:rsidRPr="0055056D">
        <w:rPr>
          <w:rFonts w:ascii="Arial" w:eastAsia="Calibri" w:hAnsi="Arial" w:cs="Arial"/>
          <w:sz w:val="22"/>
          <w:szCs w:val="22"/>
          <w:lang w:eastAsia="en-US"/>
        </w:rPr>
        <w:t>paedophilia</w:t>
      </w:r>
      <w:r w:rsidR="009647E8" w:rsidRPr="0055056D">
        <w:rPr>
          <w:rStyle w:val="Rimandonotaapidipagina"/>
          <w:rFonts w:eastAsia="Calibri" w:cs="Arial"/>
          <w:szCs w:val="22"/>
          <w:lang w:eastAsia="en-US"/>
        </w:rPr>
        <w:footnoteReference w:id="121"/>
      </w:r>
      <w:r w:rsidR="008A1138" w:rsidRPr="0055056D">
        <w:rPr>
          <w:rFonts w:ascii="Arial" w:eastAsia="Calibri" w:hAnsi="Arial" w:cs="Arial"/>
          <w:sz w:val="22"/>
          <w:szCs w:val="22"/>
          <w:lang w:eastAsia="en-US"/>
        </w:rPr>
        <w:t xml:space="preserve"> and</w:t>
      </w:r>
      <w:r w:rsidR="00F307E0" w:rsidRPr="0055056D">
        <w:rPr>
          <w:rFonts w:ascii="Arial" w:eastAsia="Calibri" w:hAnsi="Arial" w:cs="Arial"/>
          <w:sz w:val="22"/>
          <w:szCs w:val="22"/>
          <w:lang w:eastAsia="en-US"/>
        </w:rPr>
        <w:t xml:space="preserve"> </w:t>
      </w:r>
      <w:r w:rsidR="0093584B" w:rsidRPr="0055056D">
        <w:rPr>
          <w:rFonts w:ascii="Arial" w:eastAsia="Calibri" w:hAnsi="Arial" w:cs="Arial"/>
          <w:sz w:val="22"/>
          <w:szCs w:val="22"/>
          <w:lang w:eastAsia="en-US"/>
        </w:rPr>
        <w:t xml:space="preserve"> </w:t>
      </w:r>
      <w:r w:rsidR="00116032" w:rsidRPr="0055056D">
        <w:rPr>
          <w:rFonts w:ascii="Arial" w:eastAsia="Calibri" w:hAnsi="Arial" w:cs="Arial"/>
          <w:sz w:val="22"/>
          <w:szCs w:val="22"/>
          <w:lang w:eastAsia="en-US"/>
        </w:rPr>
        <w:t>asked voters</w:t>
      </w:r>
      <w:r w:rsidR="00033F86" w:rsidRPr="0055056D">
        <w:rPr>
          <w:rFonts w:ascii="Arial" w:eastAsia="Calibri" w:hAnsi="Arial" w:cs="Arial"/>
          <w:sz w:val="22"/>
          <w:szCs w:val="22"/>
          <w:lang w:eastAsia="en-US"/>
        </w:rPr>
        <w:t xml:space="preserve"> provocative</w:t>
      </w:r>
      <w:r w:rsidR="00E30618" w:rsidRPr="0055056D">
        <w:rPr>
          <w:rFonts w:ascii="Arial" w:eastAsia="Calibri" w:hAnsi="Arial" w:cs="Arial"/>
          <w:sz w:val="22"/>
          <w:szCs w:val="22"/>
          <w:lang w:eastAsia="en-US"/>
        </w:rPr>
        <w:t xml:space="preserve"> questions t</w:t>
      </w:r>
      <w:r w:rsidR="004658B7" w:rsidRPr="0055056D">
        <w:rPr>
          <w:rFonts w:ascii="Arial" w:eastAsia="Calibri" w:hAnsi="Arial" w:cs="Arial"/>
          <w:sz w:val="22"/>
          <w:szCs w:val="22"/>
          <w:lang w:eastAsia="en-US"/>
        </w:rPr>
        <w:t>hat did not reflect the views of either the political opposition or the LGBTIQ community</w:t>
      </w:r>
      <w:r w:rsidR="00116032" w:rsidRPr="0055056D">
        <w:rPr>
          <w:rFonts w:ascii="Arial" w:eastAsia="Calibri" w:hAnsi="Arial" w:cs="Arial"/>
          <w:sz w:val="22"/>
          <w:szCs w:val="22"/>
          <w:lang w:eastAsia="en-US"/>
        </w:rPr>
        <w:t xml:space="preserve">, </w:t>
      </w:r>
      <w:r w:rsidR="001E0135" w:rsidRPr="0055056D">
        <w:rPr>
          <w:rFonts w:ascii="Arial" w:eastAsia="Calibri" w:hAnsi="Arial" w:cs="Arial"/>
          <w:sz w:val="22"/>
          <w:szCs w:val="22"/>
          <w:lang w:eastAsia="en-US"/>
        </w:rPr>
        <w:t>such as</w:t>
      </w:r>
      <w:r w:rsidR="00116032" w:rsidRPr="0055056D">
        <w:rPr>
          <w:rFonts w:ascii="Arial" w:eastAsia="Calibri" w:hAnsi="Arial" w:cs="Arial"/>
          <w:sz w:val="22"/>
          <w:szCs w:val="22"/>
          <w:lang w:eastAsia="en-US"/>
        </w:rPr>
        <w:t>, whether they “support</w:t>
      </w:r>
      <w:r w:rsidR="00043715" w:rsidRPr="0055056D">
        <w:rPr>
          <w:rFonts w:ascii="Arial" w:eastAsia="Calibri" w:hAnsi="Arial" w:cs="Arial"/>
          <w:sz w:val="22"/>
          <w:szCs w:val="22"/>
          <w:lang w:eastAsia="en-US"/>
        </w:rPr>
        <w:t>(ed)</w:t>
      </w:r>
      <w:r w:rsidR="00116032" w:rsidRPr="0055056D">
        <w:rPr>
          <w:rFonts w:ascii="Arial" w:eastAsia="Calibri" w:hAnsi="Arial" w:cs="Arial"/>
          <w:sz w:val="22"/>
          <w:szCs w:val="22"/>
          <w:lang w:eastAsia="en-US"/>
        </w:rPr>
        <w:t xml:space="preserve"> the unrestricted exposure of minors to sexually explicit media content, that may influence their development?</w:t>
      </w:r>
      <w:r w:rsidR="00043715" w:rsidRPr="0055056D">
        <w:rPr>
          <w:rFonts w:ascii="Arial" w:eastAsia="Calibri" w:hAnsi="Arial" w:cs="Arial"/>
          <w:sz w:val="22"/>
          <w:szCs w:val="22"/>
          <w:lang w:eastAsia="en-US"/>
        </w:rPr>
        <w:t>”</w:t>
      </w:r>
      <w:r w:rsidR="00251282" w:rsidRPr="0055056D">
        <w:rPr>
          <w:rFonts w:ascii="Arial" w:eastAsia="Calibri" w:hAnsi="Arial" w:cs="Arial"/>
          <w:sz w:val="22"/>
          <w:szCs w:val="22"/>
          <w:lang w:eastAsia="en-US"/>
        </w:rPr>
        <w:t>; or whether they “support</w:t>
      </w:r>
      <w:r w:rsidR="00043715" w:rsidRPr="0055056D">
        <w:rPr>
          <w:rFonts w:ascii="Arial" w:eastAsia="Calibri" w:hAnsi="Arial" w:cs="Arial"/>
          <w:sz w:val="22"/>
          <w:szCs w:val="22"/>
          <w:lang w:eastAsia="en-US"/>
        </w:rPr>
        <w:t>(ed)</w:t>
      </w:r>
      <w:r w:rsidR="00251282" w:rsidRPr="0055056D">
        <w:rPr>
          <w:rFonts w:ascii="Arial" w:eastAsia="Calibri" w:hAnsi="Arial" w:cs="Arial"/>
          <w:sz w:val="22"/>
          <w:szCs w:val="22"/>
          <w:lang w:eastAsia="en-US"/>
        </w:rPr>
        <w:t xml:space="preserve"> showing minors media content on gender changing procedures?</w:t>
      </w:r>
      <w:r w:rsidR="00255EC9" w:rsidRPr="0055056D">
        <w:rPr>
          <w:rStyle w:val="Rimandonotaapidipagina"/>
          <w:rFonts w:eastAsia="Calibri" w:cs="Arial"/>
          <w:szCs w:val="22"/>
          <w:lang w:eastAsia="en-US"/>
        </w:rPr>
        <w:footnoteReference w:id="122"/>
      </w:r>
      <w:r w:rsidR="00397633" w:rsidRPr="0055056D">
        <w:rPr>
          <w:rFonts w:ascii="Arial" w:eastAsia="Calibri" w:hAnsi="Arial" w:cs="Arial"/>
          <w:sz w:val="22"/>
          <w:szCs w:val="22"/>
          <w:lang w:eastAsia="en-US"/>
        </w:rPr>
        <w:t>.</w:t>
      </w:r>
    </w:p>
    <w:p w14:paraId="1581120A" w14:textId="326B5DBE" w:rsidR="00043715" w:rsidRPr="0055056D" w:rsidRDefault="00397633" w:rsidP="005879E5">
      <w:pPr>
        <w:spacing w:after="160" w:line="259" w:lineRule="auto"/>
        <w:jc w:val="both"/>
        <w:rPr>
          <w:rFonts w:ascii="Arial" w:eastAsia="Calibri" w:hAnsi="Arial" w:cs="Arial"/>
          <w:sz w:val="22"/>
          <w:szCs w:val="22"/>
          <w:lang w:eastAsia="en-IE" w:bidi="en-US"/>
        </w:rPr>
      </w:pPr>
      <w:r w:rsidRPr="0055056D">
        <w:rPr>
          <w:rFonts w:ascii="Arial" w:eastAsia="Calibri" w:hAnsi="Arial" w:cs="Arial"/>
          <w:sz w:val="22"/>
          <w:szCs w:val="22"/>
          <w:lang w:eastAsia="en-US"/>
        </w:rPr>
        <w:t>Nevertheless, t</w:t>
      </w:r>
      <w:r w:rsidR="003850A1" w:rsidRPr="0055056D">
        <w:rPr>
          <w:rFonts w:ascii="Arial" w:eastAsia="Calibri" w:hAnsi="Arial" w:cs="Arial"/>
          <w:sz w:val="22"/>
          <w:szCs w:val="22"/>
          <w:lang w:eastAsia="en-US"/>
        </w:rPr>
        <w:t>he National Electoral Commission approved the five questions proposed to be asked at the referendum</w:t>
      </w:r>
      <w:r w:rsidR="003850A1" w:rsidRPr="0055056D">
        <w:rPr>
          <w:rFonts w:ascii="Arial" w:eastAsia="Calibri" w:hAnsi="Arial" w:cs="Arial"/>
          <w:sz w:val="22"/>
          <w:szCs w:val="22"/>
          <w:vertAlign w:val="superscript"/>
          <w:lang w:eastAsia="en-US"/>
        </w:rPr>
        <w:footnoteReference w:id="123"/>
      </w:r>
      <w:r w:rsidR="003850A1" w:rsidRPr="0055056D">
        <w:rPr>
          <w:rFonts w:ascii="Arial" w:eastAsia="Calibri" w:hAnsi="Arial" w:cs="Arial"/>
          <w:sz w:val="22"/>
          <w:szCs w:val="22"/>
          <w:lang w:eastAsia="en-US"/>
        </w:rPr>
        <w:t>. The National Electoral Commission’s decision was challenged before the Curia, among others, by the Hungarian Civil Liberties Union (HCLU), arguing that the questions lack</w:t>
      </w:r>
      <w:r w:rsidR="009A1EF5" w:rsidRPr="0055056D">
        <w:rPr>
          <w:rFonts w:ascii="Arial" w:eastAsia="Calibri" w:hAnsi="Arial" w:cs="Arial"/>
          <w:sz w:val="22"/>
          <w:szCs w:val="22"/>
          <w:lang w:eastAsia="en-US"/>
        </w:rPr>
        <w:t>ed</w:t>
      </w:r>
      <w:r w:rsidR="003850A1" w:rsidRPr="0055056D">
        <w:rPr>
          <w:rFonts w:ascii="Arial" w:eastAsia="Calibri" w:hAnsi="Arial" w:cs="Arial"/>
          <w:sz w:val="22"/>
          <w:szCs w:val="22"/>
          <w:lang w:eastAsia="en-US"/>
        </w:rPr>
        <w:t xml:space="preserve"> clarity</w:t>
      </w:r>
      <w:r w:rsidR="00400BF5" w:rsidRPr="0055056D">
        <w:rPr>
          <w:rFonts w:ascii="Arial" w:eastAsia="Calibri" w:hAnsi="Arial" w:cs="Arial"/>
          <w:sz w:val="22"/>
          <w:szCs w:val="22"/>
          <w:lang w:eastAsia="en-US"/>
        </w:rPr>
        <w:t>,</w:t>
      </w:r>
      <w:r w:rsidR="00BC3593" w:rsidRPr="0055056D">
        <w:rPr>
          <w:rFonts w:ascii="Arial" w:eastAsia="Calibri" w:hAnsi="Arial" w:cs="Arial"/>
          <w:sz w:val="22"/>
          <w:szCs w:val="22"/>
          <w:lang w:eastAsia="en-US"/>
        </w:rPr>
        <w:t xml:space="preserve"> and</w:t>
      </w:r>
      <w:r w:rsidR="003850A1" w:rsidRPr="0055056D">
        <w:rPr>
          <w:rFonts w:ascii="Arial" w:eastAsia="Calibri" w:hAnsi="Arial" w:cs="Arial"/>
          <w:sz w:val="22"/>
          <w:szCs w:val="22"/>
          <w:lang w:eastAsia="en-US"/>
        </w:rPr>
        <w:t xml:space="preserve"> violate</w:t>
      </w:r>
      <w:r w:rsidR="00837047" w:rsidRPr="0055056D">
        <w:rPr>
          <w:rFonts w:ascii="Arial" w:eastAsia="Calibri" w:hAnsi="Arial" w:cs="Arial"/>
          <w:sz w:val="22"/>
          <w:szCs w:val="22"/>
          <w:lang w:eastAsia="en-US"/>
        </w:rPr>
        <w:t>d</w:t>
      </w:r>
      <w:r w:rsidR="003850A1" w:rsidRPr="0055056D">
        <w:rPr>
          <w:rFonts w:ascii="Arial" w:eastAsia="Calibri" w:hAnsi="Arial" w:cs="Arial"/>
          <w:sz w:val="22"/>
          <w:szCs w:val="22"/>
          <w:lang w:eastAsia="en-US"/>
        </w:rPr>
        <w:t xml:space="preserve"> international human rights conventions </w:t>
      </w:r>
      <w:r w:rsidR="00C115BA" w:rsidRPr="0055056D">
        <w:rPr>
          <w:rFonts w:ascii="Arial" w:eastAsia="Calibri" w:hAnsi="Arial" w:cs="Arial"/>
          <w:sz w:val="22"/>
          <w:szCs w:val="22"/>
          <w:lang w:eastAsia="en-US"/>
        </w:rPr>
        <w:t>(</w:t>
      </w:r>
      <w:r w:rsidR="00400BF5" w:rsidRPr="0055056D">
        <w:rPr>
          <w:rFonts w:ascii="Arial" w:eastAsia="Calibri" w:hAnsi="Arial" w:cs="Arial"/>
          <w:sz w:val="22"/>
          <w:szCs w:val="22"/>
          <w:lang w:eastAsia="en-US"/>
        </w:rPr>
        <w:t xml:space="preserve">by restricting children's freedom </w:t>
      </w:r>
      <w:r w:rsidR="00400BF5" w:rsidRPr="0055056D">
        <w:rPr>
          <w:rFonts w:ascii="Arial" w:eastAsia="Calibri" w:hAnsi="Arial" w:cs="Arial"/>
          <w:sz w:val="22"/>
          <w:szCs w:val="22"/>
          <w:lang w:eastAsia="en-US"/>
        </w:rPr>
        <w:lastRenderedPageBreak/>
        <w:t>of information</w:t>
      </w:r>
      <w:r w:rsidR="00C115BA" w:rsidRPr="0055056D">
        <w:rPr>
          <w:rFonts w:ascii="Arial" w:eastAsia="Calibri" w:hAnsi="Arial" w:cs="Arial"/>
          <w:sz w:val="22"/>
          <w:szCs w:val="22"/>
          <w:lang w:eastAsia="en-US"/>
        </w:rPr>
        <w:t>)</w:t>
      </w:r>
      <w:r w:rsidR="00C068C0" w:rsidRPr="0055056D">
        <w:rPr>
          <w:rFonts w:ascii="Arial" w:eastAsia="Calibri" w:hAnsi="Arial" w:cs="Arial"/>
          <w:sz w:val="22"/>
          <w:szCs w:val="22"/>
          <w:lang w:eastAsia="en-US"/>
        </w:rPr>
        <w:t xml:space="preserve"> </w:t>
      </w:r>
      <w:r w:rsidR="003850A1" w:rsidRPr="0055056D">
        <w:rPr>
          <w:rFonts w:ascii="Arial" w:eastAsia="Calibri" w:hAnsi="Arial" w:cs="Arial"/>
          <w:sz w:val="22"/>
          <w:szCs w:val="22"/>
          <w:lang w:eastAsia="en-US"/>
        </w:rPr>
        <w:t>as well as the Fundamental Law</w:t>
      </w:r>
      <w:r w:rsidR="00781021" w:rsidRPr="0055056D">
        <w:rPr>
          <w:rFonts w:ascii="Arial" w:eastAsia="Calibri" w:hAnsi="Arial" w:cs="Arial"/>
          <w:sz w:val="22"/>
          <w:szCs w:val="22"/>
          <w:lang w:eastAsia="en-US"/>
        </w:rPr>
        <w:t xml:space="preserve"> </w:t>
      </w:r>
      <w:r w:rsidR="00C115BA" w:rsidRPr="0055056D">
        <w:rPr>
          <w:rFonts w:ascii="Arial" w:eastAsia="Calibri" w:hAnsi="Arial" w:cs="Arial"/>
          <w:sz w:val="22"/>
          <w:szCs w:val="22"/>
          <w:lang w:eastAsia="en-US"/>
        </w:rPr>
        <w:t>(</w:t>
      </w:r>
      <w:r w:rsidR="00EE4FC4" w:rsidRPr="0055056D">
        <w:rPr>
          <w:rFonts w:ascii="Arial" w:eastAsia="Calibri" w:hAnsi="Arial" w:cs="Arial"/>
          <w:sz w:val="22"/>
          <w:szCs w:val="22"/>
          <w:lang w:eastAsia="en-US"/>
        </w:rPr>
        <w:t>which</w:t>
      </w:r>
      <w:r w:rsidR="00781021" w:rsidRPr="0055056D">
        <w:rPr>
          <w:rFonts w:ascii="Arial" w:eastAsia="Calibri" w:hAnsi="Arial" w:cs="Arial"/>
          <w:sz w:val="22"/>
          <w:szCs w:val="22"/>
          <w:lang w:eastAsia="en-US"/>
        </w:rPr>
        <w:t xml:space="preserve"> protects sexual orientation as part of </w:t>
      </w:r>
      <w:r w:rsidR="00E6062D" w:rsidRPr="0055056D">
        <w:rPr>
          <w:rFonts w:ascii="Arial" w:eastAsia="Calibri" w:hAnsi="Arial" w:cs="Arial"/>
          <w:sz w:val="22"/>
          <w:szCs w:val="22"/>
          <w:lang w:eastAsia="en-US"/>
        </w:rPr>
        <w:t>human dignity</w:t>
      </w:r>
      <w:r w:rsidR="00C115BA" w:rsidRPr="0055056D">
        <w:rPr>
          <w:rFonts w:ascii="Arial" w:eastAsia="Calibri" w:hAnsi="Arial" w:cs="Arial"/>
          <w:sz w:val="22"/>
          <w:szCs w:val="22"/>
          <w:lang w:eastAsia="en-US"/>
        </w:rPr>
        <w:t>)</w:t>
      </w:r>
      <w:r w:rsidR="003850A1" w:rsidRPr="0055056D">
        <w:rPr>
          <w:rFonts w:ascii="Arial" w:eastAsia="Calibri" w:hAnsi="Arial" w:cs="Arial"/>
          <w:sz w:val="22"/>
          <w:szCs w:val="22"/>
          <w:vertAlign w:val="superscript"/>
          <w:lang w:eastAsia="en-US"/>
        </w:rPr>
        <w:footnoteReference w:id="124"/>
      </w:r>
      <w:r w:rsidR="003850A1" w:rsidRPr="0055056D">
        <w:rPr>
          <w:rFonts w:ascii="Arial" w:eastAsia="Calibri" w:hAnsi="Arial" w:cs="Arial"/>
          <w:sz w:val="22"/>
          <w:szCs w:val="22"/>
          <w:lang w:eastAsia="en-US"/>
        </w:rPr>
        <w:t>. Four of the questions were upheld by the Curia, while one question</w:t>
      </w:r>
      <w:r w:rsidR="003850A1" w:rsidRPr="0055056D">
        <w:rPr>
          <w:rFonts w:ascii="Arial" w:eastAsia="Calibri" w:hAnsi="Arial" w:cs="Arial"/>
          <w:sz w:val="22"/>
          <w:szCs w:val="22"/>
          <w:vertAlign w:val="superscript"/>
          <w:lang w:eastAsia="en-US"/>
        </w:rPr>
        <w:footnoteReference w:id="125"/>
      </w:r>
      <w:r w:rsidR="003850A1" w:rsidRPr="0055056D">
        <w:rPr>
          <w:rFonts w:ascii="Arial" w:eastAsia="Calibri" w:hAnsi="Arial" w:cs="Arial"/>
          <w:sz w:val="22"/>
          <w:szCs w:val="22"/>
          <w:lang w:eastAsia="en-US"/>
        </w:rPr>
        <w:t xml:space="preserve"> was found unlawful, violating </w:t>
      </w:r>
      <w:r w:rsidR="003850A1" w:rsidRPr="0055056D">
        <w:rPr>
          <w:rFonts w:ascii="Arial" w:eastAsia="Calibri" w:hAnsi="Arial" w:cs="Arial"/>
          <w:sz w:val="22"/>
          <w:szCs w:val="22"/>
          <w:lang w:eastAsia="en-IE" w:bidi="en-US"/>
        </w:rPr>
        <w:t xml:space="preserve">Article XVI of the Fundamental Law on </w:t>
      </w:r>
      <w:r w:rsidR="00394E76" w:rsidRPr="0055056D">
        <w:rPr>
          <w:rFonts w:ascii="Arial" w:eastAsia="Calibri" w:hAnsi="Arial" w:cs="Arial"/>
          <w:sz w:val="22"/>
          <w:szCs w:val="22"/>
          <w:lang w:eastAsia="en-IE" w:bidi="en-US"/>
        </w:rPr>
        <w:t>the</w:t>
      </w:r>
      <w:r w:rsidR="003850A1" w:rsidRPr="0055056D">
        <w:rPr>
          <w:rFonts w:ascii="Arial" w:eastAsia="Calibri" w:hAnsi="Arial" w:cs="Arial"/>
          <w:sz w:val="22"/>
          <w:szCs w:val="22"/>
          <w:lang w:eastAsia="en-IE" w:bidi="en-US"/>
        </w:rPr>
        <w:t xml:space="preserve"> right</w:t>
      </w:r>
      <w:r w:rsidR="00EC74B5" w:rsidRPr="0055056D">
        <w:rPr>
          <w:rFonts w:ascii="Arial" w:eastAsia="Calibri" w:hAnsi="Arial" w:cs="Arial"/>
          <w:sz w:val="22"/>
          <w:szCs w:val="22"/>
          <w:lang w:eastAsia="en-IE" w:bidi="en-US"/>
        </w:rPr>
        <w:t>s</w:t>
      </w:r>
      <w:r w:rsidR="00394E76" w:rsidRPr="0055056D">
        <w:rPr>
          <w:rFonts w:ascii="Arial" w:eastAsia="Calibri" w:hAnsi="Arial" w:cs="Arial"/>
          <w:sz w:val="22"/>
          <w:szCs w:val="22"/>
          <w:lang w:eastAsia="en-IE" w:bidi="en-US"/>
        </w:rPr>
        <w:t xml:space="preserve"> of the child</w:t>
      </w:r>
      <w:r w:rsidR="003850A1" w:rsidRPr="0055056D">
        <w:rPr>
          <w:rFonts w:ascii="Arial" w:eastAsia="Calibri" w:hAnsi="Arial" w:cs="Arial"/>
          <w:sz w:val="22"/>
          <w:szCs w:val="22"/>
          <w:vertAlign w:val="superscript"/>
          <w:lang w:eastAsia="en-IE" w:bidi="en-US"/>
        </w:rPr>
        <w:footnoteReference w:id="126"/>
      </w:r>
      <w:r w:rsidR="003850A1" w:rsidRPr="0055056D">
        <w:rPr>
          <w:rFonts w:ascii="Arial" w:eastAsia="Calibri" w:hAnsi="Arial" w:cs="Arial"/>
          <w:sz w:val="22"/>
          <w:szCs w:val="22"/>
          <w:lang w:eastAsia="en-IE" w:bidi="en-US"/>
        </w:rPr>
        <w:t xml:space="preserve">. </w:t>
      </w:r>
      <w:r w:rsidR="00043715" w:rsidRPr="0055056D">
        <w:rPr>
          <w:rFonts w:ascii="Arial" w:eastAsia="Calibri" w:hAnsi="Arial" w:cs="Arial"/>
          <w:sz w:val="22"/>
          <w:szCs w:val="22"/>
          <w:lang w:eastAsia="en-IE" w:bidi="en-US"/>
        </w:rPr>
        <w:t>Yet</w:t>
      </w:r>
      <w:r w:rsidR="003850A1" w:rsidRPr="0055056D">
        <w:rPr>
          <w:rFonts w:ascii="Arial" w:eastAsia="Calibri" w:hAnsi="Arial" w:cs="Arial"/>
          <w:sz w:val="22"/>
          <w:szCs w:val="22"/>
          <w:lang w:eastAsia="en-IE" w:bidi="en-US"/>
        </w:rPr>
        <w:t>, the president of the judges</w:t>
      </w:r>
      <w:r w:rsidR="00E8592E" w:rsidRPr="0055056D">
        <w:rPr>
          <w:rFonts w:ascii="Arial" w:eastAsia="Calibri" w:hAnsi="Arial" w:cs="Arial"/>
          <w:sz w:val="22"/>
          <w:szCs w:val="22"/>
          <w:lang w:eastAsia="en-IE" w:bidi="en-US"/>
        </w:rPr>
        <w:t>’</w:t>
      </w:r>
      <w:r w:rsidR="003850A1" w:rsidRPr="0055056D">
        <w:rPr>
          <w:rFonts w:ascii="Arial" w:eastAsia="Calibri" w:hAnsi="Arial" w:cs="Arial"/>
          <w:sz w:val="22"/>
          <w:szCs w:val="22"/>
          <w:lang w:eastAsia="en-IE" w:bidi="en-US"/>
        </w:rPr>
        <w:t xml:space="preserve"> panel deciding on this question was </w:t>
      </w:r>
      <w:r w:rsidR="00774BD6" w:rsidRPr="0055056D">
        <w:rPr>
          <w:rFonts w:ascii="Arial" w:eastAsia="Calibri" w:hAnsi="Arial" w:cs="Arial"/>
          <w:sz w:val="22"/>
          <w:szCs w:val="22"/>
          <w:lang w:eastAsia="en-IE" w:bidi="en-US"/>
        </w:rPr>
        <w:t xml:space="preserve">accused to be </w:t>
      </w:r>
      <w:r w:rsidR="003850A1" w:rsidRPr="0055056D">
        <w:rPr>
          <w:rFonts w:ascii="Arial" w:eastAsia="Calibri" w:hAnsi="Arial" w:cs="Arial"/>
          <w:sz w:val="22"/>
          <w:szCs w:val="22"/>
          <w:lang w:eastAsia="en-IE" w:bidi="en-US"/>
        </w:rPr>
        <w:t>‘a left-wing judge, supporting gender ideology’</w:t>
      </w:r>
      <w:r w:rsidR="00774BD6" w:rsidRPr="0055056D">
        <w:rPr>
          <w:rFonts w:ascii="Arial" w:eastAsia="Calibri" w:hAnsi="Arial" w:cs="Arial"/>
          <w:sz w:val="22"/>
          <w:szCs w:val="22"/>
          <w:lang w:eastAsia="en-IE" w:bidi="en-US"/>
        </w:rPr>
        <w:t xml:space="preserve"> in the pro-government media</w:t>
      </w:r>
      <w:r w:rsidR="003850A1" w:rsidRPr="0055056D">
        <w:rPr>
          <w:rFonts w:ascii="Arial" w:eastAsia="Calibri" w:hAnsi="Arial" w:cs="Arial"/>
          <w:sz w:val="22"/>
          <w:szCs w:val="22"/>
          <w:vertAlign w:val="superscript"/>
          <w:lang w:eastAsia="en-IE" w:bidi="en-US"/>
        </w:rPr>
        <w:footnoteReference w:id="127"/>
      </w:r>
      <w:r w:rsidR="003850A1" w:rsidRPr="0055056D">
        <w:rPr>
          <w:rFonts w:ascii="Arial" w:eastAsia="Calibri" w:hAnsi="Arial" w:cs="Arial"/>
          <w:sz w:val="22"/>
          <w:szCs w:val="22"/>
          <w:lang w:eastAsia="en-IE" w:bidi="en-US"/>
        </w:rPr>
        <w:t xml:space="preserve">. </w:t>
      </w:r>
    </w:p>
    <w:p w14:paraId="1CDBB25B" w14:textId="4C7E40CD" w:rsidR="004834C5" w:rsidRPr="0055056D" w:rsidRDefault="003850A1" w:rsidP="005879E5">
      <w:pPr>
        <w:spacing w:after="160" w:line="259" w:lineRule="auto"/>
        <w:jc w:val="both"/>
        <w:rPr>
          <w:rFonts w:ascii="Arial" w:eastAsia="Calibri" w:hAnsi="Arial" w:cs="Arial"/>
          <w:b/>
          <w:sz w:val="22"/>
          <w:szCs w:val="22"/>
          <w:lang w:eastAsia="en-US"/>
        </w:rPr>
      </w:pPr>
      <w:r w:rsidRPr="0055056D">
        <w:rPr>
          <w:rFonts w:ascii="Arial" w:eastAsia="Calibri" w:hAnsi="Arial" w:cs="Arial"/>
          <w:sz w:val="22"/>
          <w:szCs w:val="22"/>
          <w:lang w:eastAsia="en-US"/>
        </w:rPr>
        <w:t>The government submitted an appeal against the decision to the Constitutional Court</w:t>
      </w:r>
      <w:r w:rsidRPr="0055056D">
        <w:rPr>
          <w:rFonts w:ascii="Arial" w:eastAsia="Calibri" w:hAnsi="Arial" w:cs="Arial"/>
          <w:sz w:val="22"/>
          <w:szCs w:val="22"/>
          <w:vertAlign w:val="superscript"/>
          <w:lang w:eastAsia="en-US"/>
        </w:rPr>
        <w:footnoteReference w:id="128"/>
      </w:r>
      <w:r w:rsidRPr="0055056D">
        <w:rPr>
          <w:rFonts w:ascii="Arial" w:eastAsia="Calibri" w:hAnsi="Arial" w:cs="Arial"/>
          <w:sz w:val="22"/>
          <w:szCs w:val="22"/>
          <w:lang w:eastAsia="en-US"/>
        </w:rPr>
        <w:t>. The Constitutional Court found the Curia’s decision contrary to Article XXVIII (1) of the Fundamental Law on the right to fair trial and therefore annulled it</w:t>
      </w:r>
      <w:r w:rsidRPr="0055056D">
        <w:rPr>
          <w:rFonts w:ascii="Arial" w:eastAsia="Calibri" w:hAnsi="Arial" w:cs="Arial"/>
          <w:sz w:val="22"/>
          <w:szCs w:val="22"/>
          <w:vertAlign w:val="superscript"/>
          <w:lang w:eastAsia="en-IE" w:bidi="en-US"/>
        </w:rPr>
        <w:footnoteReference w:id="129"/>
      </w:r>
      <w:r w:rsidRPr="0055056D">
        <w:rPr>
          <w:rFonts w:ascii="Arial" w:eastAsia="Calibri" w:hAnsi="Arial" w:cs="Arial"/>
          <w:sz w:val="22"/>
          <w:szCs w:val="22"/>
          <w:lang w:eastAsia="en-US"/>
        </w:rPr>
        <w:t>. Nevertheless, the government did not wait for the Constitutional Court’s decision, and removed the question from the list; thus, the referendum took place with the four questions approved by the Curia.</w:t>
      </w:r>
      <w:r w:rsidR="00776824" w:rsidRPr="0055056D">
        <w:rPr>
          <w:rFonts w:ascii="Arial" w:eastAsia="Calibri" w:hAnsi="Arial" w:cs="Arial"/>
          <w:sz w:val="22"/>
          <w:szCs w:val="22"/>
          <w:lang w:eastAsia="en-US"/>
        </w:rPr>
        <w:t xml:space="preserve"> </w:t>
      </w:r>
      <w:r w:rsidR="0096677C" w:rsidRPr="0055056D">
        <w:rPr>
          <w:rFonts w:ascii="Arial" w:eastAsia="Calibri" w:hAnsi="Arial" w:cs="Arial"/>
          <w:sz w:val="22"/>
          <w:szCs w:val="22"/>
          <w:lang w:eastAsia="en-US"/>
        </w:rPr>
        <w:t>D</w:t>
      </w:r>
      <w:r w:rsidR="00603F06" w:rsidRPr="0055056D">
        <w:rPr>
          <w:rFonts w:ascii="Arial" w:eastAsia="Calibri" w:hAnsi="Arial" w:cs="Arial"/>
          <w:sz w:val="22"/>
          <w:szCs w:val="22"/>
          <w:lang w:eastAsia="en-US"/>
        </w:rPr>
        <w:t>ue to critics calling for</w:t>
      </w:r>
      <w:r w:rsidR="008C2F3F" w:rsidRPr="0055056D">
        <w:rPr>
          <w:rFonts w:ascii="Arial" w:eastAsia="Calibri" w:hAnsi="Arial" w:cs="Arial"/>
          <w:sz w:val="22"/>
          <w:szCs w:val="22"/>
          <w:lang w:eastAsia="en-US"/>
        </w:rPr>
        <w:t xml:space="preserve"> casting an</w:t>
      </w:r>
      <w:r w:rsidR="00603F06" w:rsidRPr="0055056D">
        <w:rPr>
          <w:rFonts w:ascii="Arial" w:eastAsia="Calibri" w:hAnsi="Arial" w:cs="Arial"/>
          <w:sz w:val="22"/>
          <w:szCs w:val="22"/>
          <w:lang w:eastAsia="en-US"/>
        </w:rPr>
        <w:t xml:space="preserve"> </w:t>
      </w:r>
      <w:r w:rsidR="008C2F3F" w:rsidRPr="0055056D">
        <w:rPr>
          <w:rFonts w:ascii="Arial" w:eastAsia="Calibri" w:hAnsi="Arial" w:cs="Arial"/>
          <w:sz w:val="22"/>
          <w:szCs w:val="22"/>
          <w:lang w:eastAsia="en-US"/>
        </w:rPr>
        <w:t>invalid vote</w:t>
      </w:r>
      <w:r w:rsidR="00603F06" w:rsidRPr="0055056D">
        <w:rPr>
          <w:rFonts w:ascii="Arial" w:eastAsia="Calibri" w:hAnsi="Arial" w:cs="Arial"/>
          <w:sz w:val="22"/>
          <w:szCs w:val="22"/>
          <w:lang w:eastAsia="en-US"/>
        </w:rPr>
        <w:t xml:space="preserve"> in protest of </w:t>
      </w:r>
      <w:r w:rsidR="007067A2" w:rsidRPr="0055056D">
        <w:rPr>
          <w:rFonts w:ascii="Arial" w:eastAsia="Calibri" w:hAnsi="Arial" w:cs="Arial"/>
          <w:sz w:val="22"/>
          <w:szCs w:val="22"/>
          <w:lang w:eastAsia="en-US"/>
        </w:rPr>
        <w:t>what</w:t>
      </w:r>
      <w:r w:rsidR="004770E9" w:rsidRPr="0055056D">
        <w:rPr>
          <w:rFonts w:ascii="Arial" w:eastAsia="Calibri" w:hAnsi="Arial" w:cs="Arial"/>
          <w:sz w:val="22"/>
          <w:szCs w:val="22"/>
          <w:lang w:eastAsia="en-US"/>
        </w:rPr>
        <w:t xml:space="preserve"> has been referred to as the “homophobic referendum”</w:t>
      </w:r>
      <w:r w:rsidR="007067A2" w:rsidRPr="0055056D">
        <w:rPr>
          <w:rFonts w:ascii="Arial" w:eastAsia="Calibri" w:hAnsi="Arial" w:cs="Arial"/>
          <w:sz w:val="22"/>
          <w:szCs w:val="22"/>
          <w:lang w:eastAsia="en-US"/>
        </w:rPr>
        <w:t>, none of the questions reached the required threshold of 50% of registered voters casting a valid "yes" or "no" vote.</w:t>
      </w:r>
      <w:r w:rsidR="00785D80" w:rsidRPr="0055056D">
        <w:rPr>
          <w:rStyle w:val="Rimandonotaapidipagina"/>
          <w:rFonts w:eastAsia="Calibri" w:cs="Arial"/>
          <w:szCs w:val="22"/>
          <w:lang w:eastAsia="en-US"/>
        </w:rPr>
        <w:footnoteReference w:id="130"/>
      </w:r>
      <w:r w:rsidR="0096677C" w:rsidRPr="0055056D">
        <w:rPr>
          <w:rFonts w:ascii="Arial" w:eastAsia="Calibri" w:hAnsi="Arial" w:cs="Arial"/>
          <w:sz w:val="22"/>
          <w:szCs w:val="22"/>
          <w:lang w:eastAsia="en-US"/>
        </w:rPr>
        <w:t xml:space="preserve"> Nevertheless,</w:t>
      </w:r>
      <w:r w:rsidR="004770E9" w:rsidRPr="0055056D">
        <w:rPr>
          <w:rFonts w:ascii="Arial" w:eastAsia="Calibri" w:hAnsi="Arial" w:cs="Arial"/>
          <w:sz w:val="22"/>
          <w:szCs w:val="22"/>
          <w:lang w:eastAsia="en-US"/>
        </w:rPr>
        <w:t xml:space="preserve"> </w:t>
      </w:r>
      <w:r w:rsidR="00AB70D2" w:rsidRPr="0055056D">
        <w:rPr>
          <w:rFonts w:ascii="Arial" w:eastAsia="Calibri" w:hAnsi="Arial" w:cs="Arial"/>
          <w:b/>
          <w:sz w:val="22"/>
          <w:szCs w:val="22"/>
          <w:lang w:eastAsia="en-US"/>
        </w:rPr>
        <w:t>t</w:t>
      </w:r>
      <w:r w:rsidR="00776824" w:rsidRPr="0055056D">
        <w:rPr>
          <w:rFonts w:ascii="Arial" w:eastAsia="Calibri" w:hAnsi="Arial" w:cs="Arial"/>
          <w:b/>
          <w:sz w:val="22"/>
          <w:szCs w:val="22"/>
          <w:lang w:eastAsia="en-US"/>
        </w:rPr>
        <w:t xml:space="preserve">his case </w:t>
      </w:r>
      <w:r w:rsidR="008B4CC9" w:rsidRPr="0055056D">
        <w:rPr>
          <w:rFonts w:ascii="Arial" w:eastAsia="Calibri" w:hAnsi="Arial" w:cs="Arial"/>
          <w:b/>
          <w:sz w:val="22"/>
          <w:szCs w:val="22"/>
          <w:lang w:eastAsia="en-US"/>
        </w:rPr>
        <w:t xml:space="preserve">illustrates the lack of independence of </w:t>
      </w:r>
      <w:r w:rsidR="005F32A0" w:rsidRPr="0055056D">
        <w:rPr>
          <w:rFonts w:ascii="Arial" w:eastAsia="Calibri" w:hAnsi="Arial" w:cs="Arial"/>
          <w:b/>
          <w:sz w:val="22"/>
          <w:szCs w:val="22"/>
          <w:lang w:eastAsia="en-US"/>
        </w:rPr>
        <w:t xml:space="preserve">the </w:t>
      </w:r>
      <w:r w:rsidR="005F32A0" w:rsidRPr="0055056D">
        <w:rPr>
          <w:rFonts w:ascii="Arial" w:eastAsia="Calibri" w:hAnsi="Arial" w:cs="Arial"/>
          <w:b/>
          <w:bCs/>
          <w:sz w:val="22"/>
          <w:szCs w:val="22"/>
          <w:lang w:eastAsia="en-US"/>
        </w:rPr>
        <w:t>Curia</w:t>
      </w:r>
      <w:r w:rsidR="00280596" w:rsidRPr="0055056D">
        <w:rPr>
          <w:rFonts w:ascii="Arial" w:eastAsia="Calibri" w:hAnsi="Arial" w:cs="Arial"/>
          <w:b/>
          <w:sz w:val="22"/>
          <w:szCs w:val="22"/>
          <w:lang w:eastAsia="en-US"/>
        </w:rPr>
        <w:t xml:space="preserve"> </w:t>
      </w:r>
      <w:r w:rsidR="008B4CC9" w:rsidRPr="0055056D">
        <w:rPr>
          <w:rFonts w:ascii="Arial" w:eastAsia="Calibri" w:hAnsi="Arial" w:cs="Arial"/>
          <w:b/>
          <w:sz w:val="22"/>
          <w:szCs w:val="22"/>
          <w:lang w:eastAsia="en-US"/>
        </w:rPr>
        <w:t xml:space="preserve">and that its </w:t>
      </w:r>
      <w:r w:rsidR="00280596" w:rsidRPr="0055056D">
        <w:rPr>
          <w:rFonts w:ascii="Arial" w:eastAsia="Calibri" w:hAnsi="Arial" w:cs="Arial"/>
          <w:b/>
          <w:sz w:val="22"/>
          <w:szCs w:val="22"/>
          <w:lang w:eastAsia="en-US"/>
        </w:rPr>
        <w:t xml:space="preserve">review procedure </w:t>
      </w:r>
      <w:r w:rsidR="004B66F9" w:rsidRPr="0055056D">
        <w:rPr>
          <w:rFonts w:ascii="Arial" w:eastAsia="Calibri" w:hAnsi="Arial" w:cs="Arial"/>
          <w:b/>
          <w:bCs/>
          <w:sz w:val="22"/>
          <w:szCs w:val="22"/>
          <w:lang w:eastAsia="en-US"/>
        </w:rPr>
        <w:t>may</w:t>
      </w:r>
      <w:r w:rsidR="00752B29" w:rsidRPr="0055056D">
        <w:rPr>
          <w:rFonts w:ascii="Arial" w:eastAsia="Calibri" w:hAnsi="Arial" w:cs="Arial"/>
          <w:b/>
          <w:bCs/>
          <w:sz w:val="22"/>
          <w:szCs w:val="22"/>
          <w:lang w:eastAsia="en-US"/>
        </w:rPr>
        <w:t xml:space="preserve"> not </w:t>
      </w:r>
      <w:r w:rsidR="004B66F9" w:rsidRPr="0055056D">
        <w:rPr>
          <w:rFonts w:ascii="Arial" w:eastAsia="Calibri" w:hAnsi="Arial" w:cs="Arial"/>
          <w:b/>
          <w:bCs/>
          <w:sz w:val="22"/>
          <w:szCs w:val="22"/>
          <w:lang w:eastAsia="en-US"/>
        </w:rPr>
        <w:t>be</w:t>
      </w:r>
      <w:r w:rsidR="00752B29" w:rsidRPr="0055056D">
        <w:rPr>
          <w:rFonts w:ascii="Arial" w:eastAsia="Calibri" w:hAnsi="Arial" w:cs="Arial"/>
          <w:b/>
          <w:bCs/>
          <w:sz w:val="22"/>
          <w:szCs w:val="22"/>
          <w:lang w:eastAsia="en-US"/>
        </w:rPr>
        <w:t xml:space="preserve"> effective in </w:t>
      </w:r>
      <w:r w:rsidR="005F6F41" w:rsidRPr="0055056D">
        <w:rPr>
          <w:rFonts w:ascii="Arial" w:eastAsia="Calibri" w:hAnsi="Arial" w:cs="Arial"/>
          <w:b/>
          <w:bCs/>
          <w:sz w:val="22"/>
          <w:szCs w:val="22"/>
          <w:lang w:eastAsia="en-US"/>
        </w:rPr>
        <w:t xml:space="preserve">protecting human rights against </w:t>
      </w:r>
      <w:r w:rsidR="00C35746" w:rsidRPr="0055056D">
        <w:rPr>
          <w:rFonts w:ascii="Arial" w:eastAsia="Calibri" w:hAnsi="Arial" w:cs="Arial"/>
          <w:b/>
          <w:bCs/>
          <w:sz w:val="22"/>
          <w:szCs w:val="22"/>
          <w:lang w:eastAsia="en-US"/>
        </w:rPr>
        <w:t>the dissenting actions of the government.</w:t>
      </w:r>
      <w:r w:rsidR="00280596" w:rsidRPr="0055056D">
        <w:rPr>
          <w:rFonts w:ascii="Arial" w:eastAsia="Calibri" w:hAnsi="Arial" w:cs="Arial"/>
          <w:b/>
          <w:bCs/>
          <w:sz w:val="22"/>
          <w:szCs w:val="22"/>
          <w:lang w:eastAsia="en-US"/>
        </w:rPr>
        <w:t xml:space="preserve"> </w:t>
      </w:r>
    </w:p>
    <w:p w14:paraId="373DDCAF" w14:textId="0FD70504" w:rsidR="00986890" w:rsidRPr="0055056D" w:rsidRDefault="00043715" w:rsidP="00986890">
      <w:pPr>
        <w:spacing w:after="160" w:line="259" w:lineRule="auto"/>
        <w:jc w:val="both"/>
        <w:rPr>
          <w:rFonts w:ascii="Arial" w:hAnsi="Arial" w:cs="Arial"/>
          <w:sz w:val="22"/>
          <w:szCs w:val="22"/>
          <w:lang w:val="hu-HU" w:eastAsia="en-GB"/>
        </w:rPr>
      </w:pPr>
      <w:r w:rsidRPr="0055056D">
        <w:rPr>
          <w:rFonts w:ascii="Arial" w:hAnsi="Arial" w:cs="Arial"/>
          <w:sz w:val="22"/>
          <w:szCs w:val="22"/>
        </w:rPr>
        <w:t>However, p</w:t>
      </w:r>
      <w:r w:rsidR="00DE2E72" w:rsidRPr="0055056D">
        <w:rPr>
          <w:rFonts w:ascii="Arial" w:hAnsi="Arial" w:cs="Arial"/>
          <w:sz w:val="22"/>
          <w:szCs w:val="22"/>
        </w:rPr>
        <w:t xml:space="preserve">ositive examples </w:t>
      </w:r>
      <w:r w:rsidRPr="0055056D">
        <w:rPr>
          <w:rFonts w:ascii="Arial" w:hAnsi="Arial" w:cs="Arial"/>
          <w:sz w:val="22"/>
          <w:szCs w:val="22"/>
        </w:rPr>
        <w:t xml:space="preserve">of </w:t>
      </w:r>
      <w:r w:rsidR="005E7C79" w:rsidRPr="0055056D">
        <w:rPr>
          <w:rFonts w:ascii="Arial" w:hAnsi="Arial" w:cs="Arial"/>
          <w:sz w:val="22"/>
          <w:szCs w:val="22"/>
        </w:rPr>
        <w:t>court</w:t>
      </w:r>
      <w:r w:rsidRPr="0055056D">
        <w:rPr>
          <w:rFonts w:ascii="Arial" w:hAnsi="Arial" w:cs="Arial"/>
          <w:sz w:val="22"/>
          <w:szCs w:val="22"/>
        </w:rPr>
        <w:t>s</w:t>
      </w:r>
      <w:r w:rsidR="005E7C79" w:rsidRPr="0055056D">
        <w:rPr>
          <w:rFonts w:ascii="Arial" w:hAnsi="Arial" w:cs="Arial"/>
          <w:sz w:val="22"/>
          <w:szCs w:val="22"/>
        </w:rPr>
        <w:t xml:space="preserve"> uph</w:t>
      </w:r>
      <w:r w:rsidR="00B055AE" w:rsidRPr="0055056D">
        <w:rPr>
          <w:rFonts w:ascii="Arial" w:hAnsi="Arial" w:cs="Arial"/>
          <w:sz w:val="22"/>
          <w:szCs w:val="22"/>
        </w:rPr>
        <w:t>o</w:t>
      </w:r>
      <w:r w:rsidR="005E7C79" w:rsidRPr="0055056D">
        <w:rPr>
          <w:rFonts w:ascii="Arial" w:hAnsi="Arial" w:cs="Arial"/>
          <w:sz w:val="22"/>
          <w:szCs w:val="22"/>
        </w:rPr>
        <w:t>ld</w:t>
      </w:r>
      <w:r w:rsidRPr="0055056D">
        <w:rPr>
          <w:rFonts w:ascii="Arial" w:hAnsi="Arial" w:cs="Arial"/>
          <w:sz w:val="22"/>
          <w:szCs w:val="22"/>
        </w:rPr>
        <w:t>ing</w:t>
      </w:r>
      <w:r w:rsidR="005E7C79" w:rsidRPr="0055056D">
        <w:rPr>
          <w:rFonts w:ascii="Arial" w:hAnsi="Arial" w:cs="Arial"/>
          <w:sz w:val="22"/>
          <w:szCs w:val="22"/>
        </w:rPr>
        <w:t xml:space="preserve"> human rights and </w:t>
      </w:r>
      <w:r w:rsidRPr="0055056D">
        <w:rPr>
          <w:rFonts w:ascii="Arial" w:hAnsi="Arial" w:cs="Arial"/>
          <w:sz w:val="22"/>
          <w:szCs w:val="22"/>
        </w:rPr>
        <w:t xml:space="preserve">rejecting </w:t>
      </w:r>
      <w:r w:rsidR="002A5D42" w:rsidRPr="0055056D">
        <w:rPr>
          <w:rFonts w:ascii="Arial" w:hAnsi="Arial" w:cs="Arial"/>
          <w:sz w:val="22"/>
          <w:szCs w:val="22"/>
        </w:rPr>
        <w:t xml:space="preserve">populist </w:t>
      </w:r>
      <w:r w:rsidR="001C025D" w:rsidRPr="0055056D">
        <w:rPr>
          <w:rFonts w:ascii="Arial" w:hAnsi="Arial" w:cs="Arial"/>
          <w:sz w:val="22"/>
          <w:szCs w:val="22"/>
        </w:rPr>
        <w:t xml:space="preserve">practices </w:t>
      </w:r>
      <w:r w:rsidR="00C5626B" w:rsidRPr="0055056D">
        <w:rPr>
          <w:rFonts w:ascii="Arial" w:hAnsi="Arial" w:cs="Arial"/>
          <w:sz w:val="22"/>
          <w:szCs w:val="22"/>
        </w:rPr>
        <w:t>and propaganda</w:t>
      </w:r>
      <w:r w:rsidR="001C025D" w:rsidRPr="0055056D">
        <w:rPr>
          <w:rFonts w:ascii="Arial" w:hAnsi="Arial" w:cs="Arial"/>
          <w:sz w:val="22"/>
          <w:szCs w:val="22"/>
        </w:rPr>
        <w:t xml:space="preserve"> also exist. For example, a</w:t>
      </w:r>
      <w:r w:rsidR="00986890" w:rsidRPr="0055056D">
        <w:rPr>
          <w:rFonts w:ascii="Arial" w:hAnsi="Arial" w:cs="Arial"/>
          <w:sz w:val="22"/>
          <w:szCs w:val="22"/>
        </w:rPr>
        <w:t xml:space="preserve">fter the 2018 elections, the </w:t>
      </w:r>
      <w:r w:rsidR="00986890" w:rsidRPr="0055056D">
        <w:rPr>
          <w:rFonts w:ascii="Arial" w:eastAsia="Calibri" w:hAnsi="Arial" w:cs="Arial"/>
          <w:sz w:val="22"/>
          <w:szCs w:val="22"/>
          <w:lang w:eastAsia="en-US"/>
        </w:rPr>
        <w:t>government-related</w:t>
      </w:r>
      <w:r w:rsidR="00986890" w:rsidRPr="0055056D">
        <w:rPr>
          <w:rFonts w:ascii="Arial" w:eastAsia="Calibri" w:hAnsi="Arial" w:cs="Arial"/>
          <w:i/>
          <w:iCs/>
          <w:sz w:val="22"/>
          <w:szCs w:val="22"/>
          <w:lang w:eastAsia="en-US"/>
        </w:rPr>
        <w:t xml:space="preserve"> </w:t>
      </w:r>
      <w:r w:rsidR="00986890" w:rsidRPr="0055056D">
        <w:rPr>
          <w:rFonts w:ascii="Arial" w:eastAsia="Calibri" w:hAnsi="Arial" w:cs="Arial"/>
          <w:sz w:val="22"/>
          <w:szCs w:val="22"/>
          <w:lang w:eastAsia="en-US"/>
        </w:rPr>
        <w:t>newspaper</w:t>
      </w:r>
      <w:r w:rsidR="00986890" w:rsidRPr="0055056D">
        <w:rPr>
          <w:rFonts w:ascii="Arial" w:eastAsia="Calibri" w:hAnsi="Arial" w:cs="Arial"/>
          <w:i/>
          <w:iCs/>
          <w:sz w:val="22"/>
          <w:szCs w:val="22"/>
          <w:lang w:eastAsia="en-US"/>
        </w:rPr>
        <w:t xml:space="preserve"> </w:t>
      </w:r>
      <w:proofErr w:type="spellStart"/>
      <w:r w:rsidR="00986890" w:rsidRPr="0055056D">
        <w:rPr>
          <w:rFonts w:ascii="Arial" w:eastAsia="Calibri" w:hAnsi="Arial" w:cs="Arial"/>
          <w:i/>
          <w:iCs/>
          <w:sz w:val="22"/>
          <w:szCs w:val="22"/>
          <w:lang w:eastAsia="en-US"/>
        </w:rPr>
        <w:t>Figyelő</w:t>
      </w:r>
      <w:proofErr w:type="spellEnd"/>
      <w:r w:rsidR="00986890" w:rsidRPr="0055056D">
        <w:rPr>
          <w:rFonts w:ascii="Arial" w:eastAsia="Calibri" w:hAnsi="Arial" w:cs="Arial"/>
          <w:i/>
          <w:iCs/>
          <w:sz w:val="22"/>
          <w:szCs w:val="22"/>
          <w:lang w:eastAsia="en-US"/>
        </w:rPr>
        <w:t xml:space="preserve"> </w:t>
      </w:r>
      <w:r w:rsidR="00986890" w:rsidRPr="0055056D">
        <w:rPr>
          <w:rFonts w:ascii="Arial" w:eastAsia="Calibri" w:hAnsi="Arial" w:cs="Arial"/>
          <w:sz w:val="22"/>
          <w:szCs w:val="22"/>
          <w:lang w:eastAsia="en-US"/>
        </w:rPr>
        <w:t xml:space="preserve">published an article which contained a list of 200 private individuals and public figures, including jurists, academics, journalists, and people working for NGOs, and claimed that these persons </w:t>
      </w:r>
      <w:r w:rsidR="00DE6C7B" w:rsidRPr="0055056D">
        <w:rPr>
          <w:rFonts w:ascii="Arial" w:eastAsia="Calibri" w:hAnsi="Arial" w:cs="Arial"/>
          <w:sz w:val="22"/>
          <w:szCs w:val="22"/>
          <w:lang w:eastAsia="en-US"/>
        </w:rPr>
        <w:t xml:space="preserve">were </w:t>
      </w:r>
      <w:r w:rsidR="00986890" w:rsidRPr="0055056D">
        <w:rPr>
          <w:rFonts w:ascii="Arial" w:eastAsia="Calibri" w:hAnsi="Arial" w:cs="Arial"/>
          <w:sz w:val="22"/>
          <w:szCs w:val="22"/>
          <w:lang w:eastAsia="en-US"/>
        </w:rPr>
        <w:t xml:space="preserve">associated with George Soros, </w:t>
      </w:r>
      <w:r w:rsidR="00E35CD0" w:rsidRPr="0055056D">
        <w:rPr>
          <w:rFonts w:ascii="Arial" w:eastAsia="Calibri" w:hAnsi="Arial" w:cs="Arial"/>
          <w:sz w:val="22"/>
          <w:szCs w:val="22"/>
          <w:lang w:eastAsia="en-US"/>
        </w:rPr>
        <w:t>a Hungarian-American businessman and philanthropis</w:t>
      </w:r>
      <w:r w:rsidR="00951D7C" w:rsidRPr="0055056D">
        <w:rPr>
          <w:rFonts w:ascii="Arial" w:eastAsia="Calibri" w:hAnsi="Arial" w:cs="Arial"/>
          <w:sz w:val="22"/>
          <w:szCs w:val="22"/>
          <w:lang w:eastAsia="en-US"/>
        </w:rPr>
        <w:t>t</w:t>
      </w:r>
      <w:r w:rsidR="00E35CD0" w:rsidRPr="0055056D">
        <w:rPr>
          <w:rFonts w:ascii="Arial" w:eastAsia="Calibri" w:hAnsi="Arial" w:cs="Arial"/>
          <w:sz w:val="22"/>
          <w:szCs w:val="22"/>
          <w:lang w:eastAsia="en-US"/>
        </w:rPr>
        <w:t xml:space="preserve">, </w:t>
      </w:r>
      <w:r w:rsidR="00986890" w:rsidRPr="0055056D">
        <w:rPr>
          <w:rFonts w:ascii="Arial" w:eastAsia="Calibri" w:hAnsi="Arial" w:cs="Arial"/>
          <w:sz w:val="22"/>
          <w:szCs w:val="22"/>
          <w:lang w:eastAsia="en-US"/>
        </w:rPr>
        <w:t>calling them “Soros’ mercenaries” who commit</w:t>
      </w:r>
      <w:r w:rsidR="00B055AE" w:rsidRPr="0055056D">
        <w:rPr>
          <w:rFonts w:ascii="Arial" w:eastAsia="Calibri" w:hAnsi="Arial" w:cs="Arial"/>
          <w:sz w:val="22"/>
          <w:szCs w:val="22"/>
          <w:lang w:eastAsia="en-US"/>
        </w:rPr>
        <w:t>t</w:t>
      </w:r>
      <w:r w:rsidR="00DE6C7B" w:rsidRPr="0055056D">
        <w:rPr>
          <w:rFonts w:ascii="Arial" w:eastAsia="Calibri" w:hAnsi="Arial" w:cs="Arial"/>
          <w:sz w:val="22"/>
          <w:szCs w:val="22"/>
          <w:lang w:eastAsia="en-US"/>
        </w:rPr>
        <w:t>ed</w:t>
      </w:r>
      <w:r w:rsidR="00986890" w:rsidRPr="0055056D">
        <w:rPr>
          <w:rFonts w:ascii="Arial" w:eastAsia="Calibri" w:hAnsi="Arial" w:cs="Arial"/>
          <w:sz w:val="22"/>
          <w:szCs w:val="22"/>
          <w:lang w:eastAsia="en-US"/>
        </w:rPr>
        <w:t xml:space="preserve"> treason against the nation</w:t>
      </w:r>
      <w:r w:rsidR="00986890" w:rsidRPr="0055056D">
        <w:rPr>
          <w:rFonts w:ascii="Arial" w:eastAsia="Calibri" w:hAnsi="Arial" w:cs="Arial"/>
          <w:sz w:val="22"/>
          <w:szCs w:val="22"/>
          <w:vertAlign w:val="superscript"/>
          <w:lang w:eastAsia="en-US"/>
        </w:rPr>
        <w:footnoteReference w:id="131"/>
      </w:r>
      <w:r w:rsidR="00986890" w:rsidRPr="0055056D">
        <w:rPr>
          <w:rFonts w:ascii="Arial" w:eastAsia="Calibri" w:hAnsi="Arial" w:cs="Arial"/>
          <w:sz w:val="22"/>
          <w:szCs w:val="22"/>
          <w:lang w:eastAsia="en-US"/>
        </w:rPr>
        <w:t>. The affected persons became the target of online and personal verbal attacks and harassment or had to live in fear of such attacks</w:t>
      </w:r>
      <w:r w:rsidR="00986890" w:rsidRPr="0055056D">
        <w:rPr>
          <w:rFonts w:ascii="Arial" w:eastAsia="Calibri" w:hAnsi="Arial" w:cs="Arial"/>
          <w:sz w:val="22"/>
          <w:szCs w:val="22"/>
          <w:vertAlign w:val="superscript"/>
          <w:lang w:eastAsia="en-US"/>
        </w:rPr>
        <w:footnoteReference w:id="132"/>
      </w:r>
      <w:r w:rsidR="00986890" w:rsidRPr="0055056D">
        <w:rPr>
          <w:rFonts w:ascii="Arial" w:eastAsia="Calibri" w:hAnsi="Arial" w:cs="Arial"/>
          <w:sz w:val="22"/>
          <w:szCs w:val="22"/>
          <w:lang w:eastAsia="en-US"/>
        </w:rPr>
        <w:t xml:space="preserve">. The article was part of a national-wide, long-running, intimidating media propaganda campaign against civil society actors. The case was brought before the </w:t>
      </w:r>
      <w:r w:rsidR="00DE6C7B" w:rsidRPr="0055056D">
        <w:rPr>
          <w:rFonts w:ascii="Arial" w:eastAsia="Calibri" w:hAnsi="Arial" w:cs="Arial"/>
          <w:sz w:val="22"/>
          <w:szCs w:val="22"/>
          <w:lang w:eastAsia="en-US"/>
        </w:rPr>
        <w:t xml:space="preserve">Budapest-Capital Regional Court </w:t>
      </w:r>
      <w:r w:rsidR="00986890" w:rsidRPr="0055056D">
        <w:rPr>
          <w:rFonts w:ascii="Arial" w:eastAsia="Calibri" w:hAnsi="Arial" w:cs="Arial"/>
          <w:sz w:val="22"/>
          <w:szCs w:val="22"/>
          <w:lang w:eastAsia="en-US"/>
        </w:rPr>
        <w:t xml:space="preserve"> by 34 plaintiffs, mainly people working at NGOs and universities. The Court</w:t>
      </w:r>
      <w:r w:rsidR="00DE6C7B" w:rsidRPr="0055056D">
        <w:rPr>
          <w:rFonts w:ascii="Arial" w:eastAsia="Calibri" w:hAnsi="Arial" w:cs="Arial"/>
          <w:sz w:val="22"/>
          <w:szCs w:val="22"/>
          <w:lang w:eastAsia="en-US"/>
        </w:rPr>
        <w:t>,</w:t>
      </w:r>
      <w:r w:rsidR="00986890" w:rsidRPr="0055056D">
        <w:rPr>
          <w:rFonts w:ascii="Arial" w:eastAsia="Calibri" w:hAnsi="Arial" w:cs="Arial"/>
          <w:sz w:val="22"/>
          <w:szCs w:val="22"/>
          <w:lang w:eastAsia="en-US"/>
        </w:rPr>
        <w:t xml:space="preserve"> in its judgment of September 2022</w:t>
      </w:r>
      <w:r w:rsidR="00986890" w:rsidRPr="0055056D">
        <w:rPr>
          <w:rFonts w:ascii="Arial" w:eastAsia="Calibri" w:hAnsi="Arial" w:cs="Arial"/>
          <w:sz w:val="22"/>
          <w:szCs w:val="22"/>
          <w:vertAlign w:val="superscript"/>
          <w:lang w:eastAsia="en-US"/>
        </w:rPr>
        <w:footnoteReference w:id="133"/>
      </w:r>
      <w:r w:rsidR="00986890" w:rsidRPr="0055056D">
        <w:rPr>
          <w:rFonts w:ascii="Arial" w:eastAsia="Calibri" w:hAnsi="Arial" w:cs="Arial"/>
          <w:sz w:val="22"/>
          <w:szCs w:val="22"/>
          <w:lang w:eastAsia="en-US"/>
        </w:rPr>
        <w:t xml:space="preserve"> found</w:t>
      </w:r>
      <w:r w:rsidR="00986890" w:rsidRPr="0055056D" w:rsidDel="00F969DF">
        <w:rPr>
          <w:rFonts w:ascii="Arial" w:eastAsia="Calibri" w:hAnsi="Arial" w:cs="Arial"/>
          <w:sz w:val="22"/>
          <w:szCs w:val="22"/>
          <w:lang w:eastAsia="en-US"/>
        </w:rPr>
        <w:t xml:space="preserve"> </w:t>
      </w:r>
      <w:r w:rsidR="00986890" w:rsidRPr="0055056D">
        <w:rPr>
          <w:rFonts w:ascii="Arial" w:eastAsia="Calibri" w:hAnsi="Arial" w:cs="Arial"/>
          <w:sz w:val="22"/>
          <w:szCs w:val="22"/>
          <w:lang w:eastAsia="en-US"/>
        </w:rPr>
        <w:t>the article</w:t>
      </w:r>
      <w:r w:rsidR="00F969DF" w:rsidRPr="0055056D">
        <w:rPr>
          <w:rFonts w:ascii="Arial" w:eastAsia="Calibri" w:hAnsi="Arial" w:cs="Arial"/>
          <w:sz w:val="22"/>
          <w:szCs w:val="22"/>
          <w:lang w:eastAsia="en-US"/>
        </w:rPr>
        <w:t xml:space="preserve"> to be</w:t>
      </w:r>
      <w:r w:rsidR="00986890" w:rsidRPr="0055056D">
        <w:rPr>
          <w:rFonts w:ascii="Arial" w:eastAsia="Calibri" w:hAnsi="Arial" w:cs="Arial"/>
          <w:sz w:val="22"/>
          <w:szCs w:val="22"/>
          <w:lang w:eastAsia="en-US"/>
        </w:rPr>
        <w:t xml:space="preserve"> not only unlawful, but also fear-mongering which </w:t>
      </w:r>
      <w:r w:rsidR="00DE6C7B" w:rsidRPr="0055056D">
        <w:rPr>
          <w:rFonts w:ascii="Arial" w:eastAsia="Calibri" w:hAnsi="Arial" w:cs="Arial"/>
          <w:sz w:val="22"/>
          <w:szCs w:val="22"/>
          <w:lang w:eastAsia="en-US"/>
        </w:rPr>
        <w:t xml:space="preserve">could not </w:t>
      </w:r>
      <w:r w:rsidR="00986890" w:rsidRPr="0055056D">
        <w:rPr>
          <w:rFonts w:ascii="Arial" w:eastAsia="Calibri" w:hAnsi="Arial" w:cs="Arial"/>
          <w:sz w:val="22"/>
          <w:szCs w:val="22"/>
          <w:lang w:eastAsia="en-US"/>
        </w:rPr>
        <w:t xml:space="preserve">remain without legal consequences. It maintained that </w:t>
      </w:r>
      <w:r w:rsidR="00710774" w:rsidRPr="0055056D">
        <w:rPr>
          <w:rFonts w:ascii="Arial" w:eastAsia="Calibri" w:hAnsi="Arial" w:cs="Arial"/>
          <w:sz w:val="22"/>
          <w:szCs w:val="22"/>
          <w:lang w:eastAsia="en-US"/>
        </w:rPr>
        <w:t xml:space="preserve">such </w:t>
      </w:r>
      <w:r w:rsidR="00986890" w:rsidRPr="0055056D">
        <w:rPr>
          <w:rFonts w:ascii="Arial" w:eastAsia="Calibri" w:hAnsi="Arial" w:cs="Arial"/>
          <w:sz w:val="22"/>
          <w:szCs w:val="22"/>
          <w:lang w:eastAsia="en-US"/>
        </w:rPr>
        <w:t>‘listing’ damage</w:t>
      </w:r>
      <w:r w:rsidR="00DE6C7B" w:rsidRPr="0055056D">
        <w:rPr>
          <w:rFonts w:ascii="Arial" w:eastAsia="Calibri" w:hAnsi="Arial" w:cs="Arial"/>
          <w:sz w:val="22"/>
          <w:szCs w:val="22"/>
          <w:lang w:eastAsia="en-US"/>
        </w:rPr>
        <w:t>d</w:t>
      </w:r>
      <w:r w:rsidR="00986890" w:rsidRPr="0055056D">
        <w:rPr>
          <w:rFonts w:ascii="Arial" w:eastAsia="Calibri" w:hAnsi="Arial" w:cs="Arial"/>
          <w:sz w:val="22"/>
          <w:szCs w:val="22"/>
          <w:lang w:eastAsia="en-US"/>
        </w:rPr>
        <w:t xml:space="preserve"> the public opinion of the persons concerned and </w:t>
      </w:r>
      <w:r w:rsidR="00DE6C7B" w:rsidRPr="0055056D">
        <w:rPr>
          <w:rFonts w:ascii="Arial" w:eastAsia="Calibri" w:hAnsi="Arial" w:cs="Arial"/>
          <w:sz w:val="22"/>
          <w:szCs w:val="22"/>
          <w:lang w:eastAsia="en-US"/>
        </w:rPr>
        <w:t xml:space="preserve">gave </w:t>
      </w:r>
      <w:r w:rsidR="00986890" w:rsidRPr="0055056D">
        <w:rPr>
          <w:rFonts w:ascii="Arial" w:eastAsia="Calibri" w:hAnsi="Arial" w:cs="Arial"/>
          <w:sz w:val="22"/>
          <w:szCs w:val="22"/>
          <w:lang w:eastAsia="en-US"/>
        </w:rPr>
        <w:t xml:space="preserve">rise to fear, especially in view of the historic precedents of the Second World War. </w:t>
      </w:r>
      <w:r w:rsidR="00CF26A7" w:rsidRPr="0055056D">
        <w:rPr>
          <w:rFonts w:ascii="Arial" w:eastAsia="Calibri" w:hAnsi="Arial" w:cs="Arial"/>
          <w:sz w:val="22"/>
          <w:szCs w:val="22"/>
          <w:lang w:eastAsia="en-US"/>
        </w:rPr>
        <w:t xml:space="preserve">The judgement held that just because someone works for a particular organisation does not mean that they are an enemy of the nation. </w:t>
      </w:r>
      <w:r w:rsidR="00986890" w:rsidRPr="0055056D">
        <w:rPr>
          <w:rFonts w:ascii="Arial" w:eastAsia="Calibri" w:hAnsi="Arial" w:cs="Arial"/>
          <w:sz w:val="22"/>
          <w:szCs w:val="22"/>
          <w:lang w:eastAsia="en-US"/>
        </w:rPr>
        <w:t xml:space="preserve">The </w:t>
      </w:r>
      <w:r w:rsidR="00DE6C7B" w:rsidRPr="0055056D">
        <w:rPr>
          <w:rFonts w:ascii="Arial" w:eastAsia="Calibri" w:hAnsi="Arial" w:cs="Arial"/>
          <w:sz w:val="22"/>
          <w:szCs w:val="22"/>
          <w:lang w:eastAsia="en-US"/>
        </w:rPr>
        <w:t>C</w:t>
      </w:r>
      <w:r w:rsidR="00986890" w:rsidRPr="0055056D">
        <w:rPr>
          <w:rFonts w:ascii="Arial" w:eastAsia="Calibri" w:hAnsi="Arial" w:cs="Arial"/>
          <w:sz w:val="22"/>
          <w:szCs w:val="22"/>
          <w:lang w:eastAsia="en-US"/>
        </w:rPr>
        <w:t xml:space="preserve">ourt awarded damages to the plaintiffs and </w:t>
      </w:r>
      <w:r w:rsidR="00A6234F" w:rsidRPr="0055056D">
        <w:rPr>
          <w:rFonts w:ascii="Arial" w:eastAsia="Calibri" w:hAnsi="Arial" w:cs="Arial"/>
          <w:sz w:val="22"/>
          <w:szCs w:val="22"/>
          <w:lang w:eastAsia="en-US"/>
        </w:rPr>
        <w:t xml:space="preserve">ordered </w:t>
      </w:r>
      <w:r w:rsidR="002F7829" w:rsidRPr="0055056D">
        <w:rPr>
          <w:rFonts w:ascii="Arial" w:eastAsia="Calibri" w:hAnsi="Arial" w:cs="Arial"/>
          <w:sz w:val="22"/>
          <w:szCs w:val="22"/>
          <w:lang w:eastAsia="en-US"/>
        </w:rPr>
        <w:t xml:space="preserve">the publishing of the </w:t>
      </w:r>
      <w:r w:rsidR="00DE6C7B" w:rsidRPr="0055056D">
        <w:rPr>
          <w:rFonts w:ascii="Arial" w:eastAsia="Calibri" w:hAnsi="Arial" w:cs="Arial"/>
          <w:sz w:val="22"/>
          <w:szCs w:val="22"/>
          <w:lang w:eastAsia="en-US"/>
        </w:rPr>
        <w:t>C</w:t>
      </w:r>
      <w:r w:rsidR="008D5524" w:rsidRPr="0055056D">
        <w:rPr>
          <w:rFonts w:ascii="Arial" w:eastAsia="Calibri" w:hAnsi="Arial" w:cs="Arial"/>
          <w:sz w:val="22"/>
          <w:szCs w:val="22"/>
          <w:lang w:eastAsia="en-US"/>
        </w:rPr>
        <w:t xml:space="preserve">ourt’s </w:t>
      </w:r>
      <w:r w:rsidR="002F7829" w:rsidRPr="0055056D">
        <w:rPr>
          <w:rFonts w:ascii="Arial" w:eastAsia="Calibri" w:hAnsi="Arial" w:cs="Arial"/>
          <w:sz w:val="22"/>
          <w:szCs w:val="22"/>
          <w:lang w:eastAsia="en-US"/>
        </w:rPr>
        <w:t xml:space="preserve">judgment </w:t>
      </w:r>
      <w:r w:rsidR="003807F8" w:rsidRPr="0055056D">
        <w:rPr>
          <w:rFonts w:ascii="Arial" w:eastAsia="Calibri" w:hAnsi="Arial" w:cs="Arial"/>
          <w:sz w:val="22"/>
          <w:szCs w:val="22"/>
          <w:lang w:eastAsia="en-US"/>
        </w:rPr>
        <w:t>i</w:t>
      </w:r>
      <w:r w:rsidR="001B0C6C" w:rsidRPr="0055056D">
        <w:rPr>
          <w:rFonts w:ascii="Arial" w:eastAsia="Calibri" w:hAnsi="Arial" w:cs="Arial"/>
          <w:sz w:val="22"/>
          <w:szCs w:val="22"/>
          <w:lang w:eastAsia="en-US"/>
        </w:rPr>
        <w:t xml:space="preserve">n the online version of </w:t>
      </w:r>
      <w:r w:rsidR="001B0C6C" w:rsidRPr="0055056D">
        <w:rPr>
          <w:rFonts w:ascii="Arial" w:eastAsia="Calibri" w:hAnsi="Arial" w:cs="Arial"/>
          <w:sz w:val="22"/>
          <w:szCs w:val="22"/>
          <w:lang w:eastAsia="en-US"/>
        </w:rPr>
        <w:lastRenderedPageBreak/>
        <w:t xml:space="preserve">the newspaper (since the </w:t>
      </w:r>
      <w:r w:rsidR="00C62579" w:rsidRPr="0055056D">
        <w:rPr>
          <w:rFonts w:ascii="Arial" w:eastAsia="Calibri" w:hAnsi="Arial" w:cs="Arial"/>
          <w:sz w:val="22"/>
          <w:szCs w:val="22"/>
          <w:lang w:eastAsia="en-US"/>
        </w:rPr>
        <w:t>printed version ceased to exist)</w:t>
      </w:r>
      <w:r w:rsidR="002D101B" w:rsidRPr="0055056D">
        <w:rPr>
          <w:rFonts w:ascii="Arial" w:eastAsia="Calibri" w:hAnsi="Arial" w:cs="Arial"/>
          <w:sz w:val="22"/>
          <w:szCs w:val="22"/>
          <w:lang w:eastAsia="en-US"/>
        </w:rPr>
        <w:t xml:space="preserve">, </w:t>
      </w:r>
      <w:r w:rsidR="008D5524" w:rsidRPr="0055056D">
        <w:rPr>
          <w:rFonts w:ascii="Arial" w:eastAsia="Calibri" w:hAnsi="Arial" w:cs="Arial"/>
          <w:sz w:val="22"/>
          <w:szCs w:val="22"/>
          <w:lang w:eastAsia="en-US"/>
        </w:rPr>
        <w:t xml:space="preserve">and </w:t>
      </w:r>
      <w:r w:rsidR="00041A31" w:rsidRPr="0055056D">
        <w:rPr>
          <w:rFonts w:ascii="Arial" w:eastAsia="Calibri" w:hAnsi="Arial" w:cs="Arial"/>
          <w:sz w:val="22"/>
          <w:szCs w:val="22"/>
          <w:lang w:eastAsia="en-US"/>
        </w:rPr>
        <w:t>a public</w:t>
      </w:r>
      <w:r w:rsidR="002F7829" w:rsidRPr="0055056D">
        <w:rPr>
          <w:rFonts w:ascii="Arial" w:eastAsia="Calibri" w:hAnsi="Arial" w:cs="Arial"/>
          <w:sz w:val="22"/>
          <w:szCs w:val="22"/>
          <w:lang w:eastAsia="en-US"/>
        </w:rPr>
        <w:t xml:space="preserve"> apology to the </w:t>
      </w:r>
      <w:r w:rsidR="003807F8" w:rsidRPr="0055056D">
        <w:rPr>
          <w:rFonts w:ascii="Arial" w:eastAsia="Calibri" w:hAnsi="Arial" w:cs="Arial"/>
          <w:sz w:val="22"/>
          <w:szCs w:val="22"/>
          <w:lang w:eastAsia="en-US"/>
        </w:rPr>
        <w:t>listed persons</w:t>
      </w:r>
      <w:r w:rsidR="00C046B9" w:rsidRPr="0055056D">
        <w:rPr>
          <w:rFonts w:ascii="Arial" w:eastAsia="Calibri" w:hAnsi="Arial" w:cs="Arial"/>
          <w:sz w:val="22"/>
          <w:szCs w:val="22"/>
          <w:vertAlign w:val="superscript"/>
          <w:lang w:eastAsia="en-US"/>
        </w:rPr>
        <w:footnoteReference w:id="134"/>
      </w:r>
      <w:r w:rsidR="002F7829" w:rsidRPr="0055056D">
        <w:rPr>
          <w:rFonts w:ascii="Arial" w:eastAsia="Calibri" w:hAnsi="Arial" w:cs="Arial"/>
          <w:sz w:val="22"/>
          <w:szCs w:val="22"/>
          <w:lang w:eastAsia="en-US"/>
        </w:rPr>
        <w:t>.</w:t>
      </w:r>
      <w:r w:rsidR="00986890" w:rsidRPr="0055056D">
        <w:rPr>
          <w:rFonts w:ascii="Arial" w:eastAsia="Calibri" w:hAnsi="Arial" w:cs="Arial"/>
          <w:sz w:val="22"/>
          <w:szCs w:val="22"/>
          <w:lang w:eastAsia="en-US"/>
        </w:rPr>
        <w:t xml:space="preserve"> </w:t>
      </w:r>
      <w:r w:rsidR="00986890" w:rsidRPr="0055056D">
        <w:rPr>
          <w:rFonts w:ascii="Arial" w:hAnsi="Arial" w:cs="Arial"/>
          <w:sz w:val="22"/>
          <w:szCs w:val="22"/>
          <w:lang w:eastAsia="en-GB"/>
        </w:rPr>
        <w:t xml:space="preserve">The judgment become final and legally binding on 3 December 2022. </w:t>
      </w:r>
      <w:r w:rsidR="00677B24" w:rsidRPr="0055056D">
        <w:rPr>
          <w:rFonts w:ascii="Arial" w:hAnsi="Arial" w:cs="Arial"/>
          <w:sz w:val="22"/>
          <w:szCs w:val="22"/>
          <w:lang w:eastAsia="en-GB"/>
        </w:rPr>
        <w:t xml:space="preserve">The </w:t>
      </w:r>
      <w:proofErr w:type="spellStart"/>
      <w:r w:rsidR="00677B24" w:rsidRPr="0055056D">
        <w:rPr>
          <w:rFonts w:ascii="Arial" w:eastAsia="Calibri" w:hAnsi="Arial" w:cs="Arial"/>
          <w:i/>
          <w:iCs/>
          <w:sz w:val="22"/>
          <w:szCs w:val="22"/>
          <w:lang w:eastAsia="en-US"/>
        </w:rPr>
        <w:t>Figyelő</w:t>
      </w:r>
      <w:proofErr w:type="spellEnd"/>
      <w:r w:rsidR="00677B24" w:rsidRPr="0055056D">
        <w:rPr>
          <w:rFonts w:ascii="Arial" w:eastAsia="Calibri" w:hAnsi="Arial" w:cs="Arial"/>
          <w:i/>
          <w:iCs/>
          <w:sz w:val="22"/>
          <w:szCs w:val="22"/>
          <w:lang w:eastAsia="en-US"/>
        </w:rPr>
        <w:t xml:space="preserve"> </w:t>
      </w:r>
      <w:r w:rsidR="00677B24" w:rsidRPr="0055056D">
        <w:rPr>
          <w:rFonts w:ascii="Arial" w:eastAsia="Calibri" w:hAnsi="Arial" w:cs="Arial"/>
          <w:sz w:val="22"/>
          <w:szCs w:val="22"/>
          <w:lang w:eastAsia="en-US"/>
        </w:rPr>
        <w:t>published a</w:t>
      </w:r>
      <w:r w:rsidR="00AA2F97" w:rsidRPr="0055056D">
        <w:rPr>
          <w:rFonts w:ascii="Arial" w:eastAsia="Calibri" w:hAnsi="Arial" w:cs="Arial"/>
          <w:sz w:val="22"/>
          <w:szCs w:val="22"/>
          <w:lang w:eastAsia="en-US"/>
        </w:rPr>
        <w:t xml:space="preserve">n apology </w:t>
      </w:r>
      <w:r w:rsidR="001F2C84" w:rsidRPr="0055056D">
        <w:rPr>
          <w:rFonts w:ascii="Arial" w:eastAsia="Calibri" w:hAnsi="Arial" w:cs="Arial"/>
          <w:sz w:val="22"/>
          <w:szCs w:val="22"/>
          <w:lang w:eastAsia="en-US"/>
        </w:rPr>
        <w:t xml:space="preserve">on its website </w:t>
      </w:r>
      <w:r w:rsidR="002D46E0" w:rsidRPr="0055056D">
        <w:rPr>
          <w:rFonts w:ascii="Arial" w:eastAsia="Calibri" w:hAnsi="Arial" w:cs="Arial"/>
          <w:sz w:val="22"/>
          <w:szCs w:val="22"/>
          <w:lang w:eastAsia="en-US"/>
        </w:rPr>
        <w:t>on 10 February</w:t>
      </w:r>
      <w:r w:rsidR="00AA2F97" w:rsidRPr="0055056D">
        <w:rPr>
          <w:rFonts w:ascii="Arial" w:eastAsia="Calibri" w:hAnsi="Arial" w:cs="Arial"/>
          <w:sz w:val="22"/>
          <w:szCs w:val="22"/>
          <w:lang w:eastAsia="en-US"/>
        </w:rPr>
        <w:t xml:space="preserve"> </w:t>
      </w:r>
      <w:r w:rsidR="007A663D" w:rsidRPr="0055056D">
        <w:rPr>
          <w:rFonts w:ascii="Arial" w:eastAsia="Calibri" w:hAnsi="Arial" w:cs="Arial"/>
          <w:sz w:val="22"/>
          <w:szCs w:val="22"/>
          <w:lang w:eastAsia="en-US"/>
        </w:rPr>
        <w:t>2023</w:t>
      </w:r>
      <w:r w:rsidR="00B23F36" w:rsidRPr="0055056D">
        <w:rPr>
          <w:rFonts w:ascii="Arial" w:eastAsia="Calibri" w:hAnsi="Arial" w:cs="Arial"/>
          <w:sz w:val="22"/>
          <w:szCs w:val="22"/>
          <w:lang w:eastAsia="en-US"/>
        </w:rPr>
        <w:t xml:space="preserve"> for </w:t>
      </w:r>
      <w:r w:rsidR="00DE5F1F" w:rsidRPr="0055056D">
        <w:rPr>
          <w:rFonts w:ascii="Arial" w:eastAsia="Calibri" w:hAnsi="Arial" w:cs="Arial"/>
          <w:sz w:val="22"/>
          <w:szCs w:val="22"/>
          <w:lang w:eastAsia="en-US"/>
        </w:rPr>
        <w:t xml:space="preserve">violating the </w:t>
      </w:r>
      <w:r w:rsidR="000F4C01" w:rsidRPr="0055056D">
        <w:rPr>
          <w:rFonts w:ascii="Arial" w:eastAsia="Calibri" w:hAnsi="Arial" w:cs="Arial"/>
          <w:sz w:val="22"/>
          <w:szCs w:val="22"/>
          <w:lang w:eastAsia="en-US"/>
        </w:rPr>
        <w:t>plaintiffs</w:t>
      </w:r>
      <w:r w:rsidR="00B341BA" w:rsidRPr="0055056D">
        <w:rPr>
          <w:rFonts w:ascii="Arial" w:eastAsia="Calibri" w:hAnsi="Arial" w:cs="Arial"/>
          <w:sz w:val="22"/>
          <w:szCs w:val="22"/>
          <w:lang w:eastAsia="en-US"/>
        </w:rPr>
        <w:t xml:space="preserve"> individual right to the protection of their reputation</w:t>
      </w:r>
      <w:r w:rsidR="00D53895" w:rsidRPr="0055056D">
        <w:rPr>
          <w:rStyle w:val="Rimandonotaapidipagina"/>
          <w:rFonts w:eastAsia="Calibri" w:cs="Arial"/>
          <w:szCs w:val="22"/>
          <w:lang w:eastAsia="en-US"/>
        </w:rPr>
        <w:footnoteReference w:id="135"/>
      </w:r>
      <w:r w:rsidR="007A663D" w:rsidRPr="0055056D">
        <w:rPr>
          <w:rFonts w:ascii="Arial" w:eastAsia="Calibri" w:hAnsi="Arial" w:cs="Arial"/>
          <w:sz w:val="22"/>
          <w:szCs w:val="22"/>
          <w:lang w:eastAsia="en-US"/>
        </w:rPr>
        <w:t>.</w:t>
      </w:r>
      <w:r w:rsidR="00677B24" w:rsidRPr="0055056D">
        <w:rPr>
          <w:rFonts w:ascii="Arial" w:hAnsi="Arial" w:cs="Arial"/>
          <w:sz w:val="22"/>
          <w:szCs w:val="22"/>
          <w:lang w:eastAsia="en-GB"/>
        </w:rPr>
        <w:t xml:space="preserve"> </w:t>
      </w:r>
      <w:r w:rsidR="00986890" w:rsidRPr="0055056D">
        <w:rPr>
          <w:rFonts w:ascii="Arial" w:hAnsi="Arial" w:cs="Arial"/>
          <w:b/>
          <w:sz w:val="22"/>
          <w:szCs w:val="22"/>
          <w:lang w:eastAsia="en-GB"/>
        </w:rPr>
        <w:t xml:space="preserve">This is </w:t>
      </w:r>
      <w:r w:rsidR="001A43C9" w:rsidRPr="0055056D">
        <w:rPr>
          <w:rFonts w:ascii="Arial" w:hAnsi="Arial" w:cs="Arial"/>
          <w:b/>
          <w:sz w:val="22"/>
          <w:szCs w:val="22"/>
          <w:lang w:eastAsia="en-GB"/>
        </w:rPr>
        <w:t>an</w:t>
      </w:r>
      <w:r w:rsidR="00986890" w:rsidRPr="0055056D">
        <w:rPr>
          <w:rFonts w:ascii="Arial" w:hAnsi="Arial" w:cs="Arial"/>
          <w:b/>
          <w:sz w:val="22"/>
          <w:szCs w:val="22"/>
          <w:lang w:eastAsia="en-GB"/>
        </w:rPr>
        <w:t xml:space="preserve"> example </w:t>
      </w:r>
      <w:r w:rsidR="001A43C9" w:rsidRPr="0055056D">
        <w:rPr>
          <w:rFonts w:ascii="Arial" w:hAnsi="Arial" w:cs="Arial"/>
          <w:b/>
          <w:sz w:val="22"/>
          <w:szCs w:val="22"/>
          <w:lang w:eastAsia="en-GB"/>
        </w:rPr>
        <w:t xml:space="preserve">of how </w:t>
      </w:r>
      <w:r w:rsidR="00A2563A" w:rsidRPr="0055056D">
        <w:rPr>
          <w:rFonts w:ascii="Arial" w:hAnsi="Arial" w:cs="Arial"/>
          <w:b/>
          <w:sz w:val="22"/>
          <w:szCs w:val="22"/>
          <w:lang w:eastAsia="en-GB"/>
        </w:rPr>
        <w:t xml:space="preserve">the judiciary </w:t>
      </w:r>
      <w:r w:rsidR="00C61783" w:rsidRPr="0055056D">
        <w:rPr>
          <w:rFonts w:ascii="Arial" w:hAnsi="Arial" w:cs="Arial"/>
          <w:b/>
          <w:sz w:val="22"/>
          <w:szCs w:val="22"/>
          <w:lang w:eastAsia="en-GB"/>
        </w:rPr>
        <w:t xml:space="preserve">withstanding political pressure and populist ideology </w:t>
      </w:r>
      <w:r w:rsidR="008156DB" w:rsidRPr="0055056D">
        <w:rPr>
          <w:rFonts w:ascii="Arial" w:hAnsi="Arial" w:cs="Arial"/>
          <w:b/>
          <w:sz w:val="22"/>
          <w:szCs w:val="22"/>
          <w:lang w:eastAsia="en-GB"/>
        </w:rPr>
        <w:t xml:space="preserve">could </w:t>
      </w:r>
      <w:r w:rsidR="006779DF" w:rsidRPr="0055056D">
        <w:rPr>
          <w:rFonts w:ascii="Arial" w:hAnsi="Arial" w:cs="Arial"/>
          <w:b/>
          <w:sz w:val="22"/>
          <w:szCs w:val="22"/>
          <w:lang w:eastAsia="en-GB"/>
        </w:rPr>
        <w:t>provide effective remedies</w:t>
      </w:r>
      <w:r w:rsidR="00376E12" w:rsidRPr="0055056D">
        <w:rPr>
          <w:rFonts w:ascii="Arial" w:hAnsi="Arial" w:cs="Arial"/>
          <w:b/>
          <w:sz w:val="22"/>
          <w:szCs w:val="22"/>
          <w:lang w:eastAsia="en-GB"/>
        </w:rPr>
        <w:t xml:space="preserve"> against </w:t>
      </w:r>
      <w:r w:rsidR="000A6D52" w:rsidRPr="0055056D">
        <w:rPr>
          <w:rFonts w:ascii="Arial" w:hAnsi="Arial" w:cs="Arial"/>
          <w:b/>
          <w:sz w:val="22"/>
          <w:szCs w:val="22"/>
          <w:lang w:eastAsia="en-GB"/>
        </w:rPr>
        <w:t>violations of the</w:t>
      </w:r>
      <w:r w:rsidR="00BC048A" w:rsidRPr="0055056D">
        <w:rPr>
          <w:rFonts w:ascii="Arial" w:hAnsi="Arial" w:cs="Arial"/>
          <w:b/>
          <w:sz w:val="22"/>
          <w:szCs w:val="22"/>
          <w:lang w:eastAsia="en-GB"/>
        </w:rPr>
        <w:t xml:space="preserve"> rule of law </w:t>
      </w:r>
      <w:r w:rsidR="008947F7" w:rsidRPr="0055056D">
        <w:rPr>
          <w:rFonts w:ascii="Arial" w:hAnsi="Arial" w:cs="Arial"/>
          <w:b/>
          <w:sz w:val="22"/>
          <w:szCs w:val="22"/>
          <w:lang w:eastAsia="en-GB"/>
        </w:rPr>
        <w:t>through a</w:t>
      </w:r>
      <w:r w:rsidR="00986890" w:rsidRPr="0055056D">
        <w:rPr>
          <w:rFonts w:ascii="Arial" w:hAnsi="Arial" w:cs="Arial"/>
          <w:b/>
          <w:sz w:val="22"/>
          <w:szCs w:val="22"/>
          <w:lang w:eastAsia="en-GB"/>
        </w:rPr>
        <w:t xml:space="preserve"> </w:t>
      </w:r>
      <w:r w:rsidR="00445A59" w:rsidRPr="0055056D">
        <w:rPr>
          <w:rFonts w:ascii="Arial" w:hAnsi="Arial" w:cs="Arial"/>
          <w:b/>
          <w:sz w:val="22"/>
          <w:szCs w:val="22"/>
          <w:lang w:eastAsia="en-GB"/>
        </w:rPr>
        <w:t xml:space="preserve">discrediting and </w:t>
      </w:r>
      <w:r w:rsidR="00445A59" w:rsidRPr="0055056D">
        <w:rPr>
          <w:rFonts w:ascii="Arial" w:hAnsi="Arial" w:cs="Arial"/>
          <w:b/>
          <w:bCs/>
          <w:sz w:val="22"/>
          <w:szCs w:val="22"/>
          <w:lang w:eastAsia="en-GB"/>
        </w:rPr>
        <w:t>intimi</w:t>
      </w:r>
      <w:r w:rsidR="00122AE9" w:rsidRPr="0055056D">
        <w:rPr>
          <w:rFonts w:ascii="Arial" w:hAnsi="Arial" w:cs="Arial"/>
          <w:b/>
          <w:bCs/>
          <w:sz w:val="22"/>
          <w:szCs w:val="22"/>
          <w:lang w:eastAsia="en-GB"/>
        </w:rPr>
        <w:t xml:space="preserve">dating </w:t>
      </w:r>
      <w:r w:rsidR="00986890" w:rsidRPr="0055056D">
        <w:rPr>
          <w:rFonts w:ascii="Arial" w:hAnsi="Arial" w:cs="Arial"/>
          <w:b/>
          <w:bCs/>
          <w:sz w:val="22"/>
          <w:szCs w:val="22"/>
          <w:lang w:eastAsia="en-GB"/>
        </w:rPr>
        <w:t>media</w:t>
      </w:r>
      <w:r w:rsidR="00986890" w:rsidRPr="0055056D">
        <w:rPr>
          <w:rFonts w:ascii="Arial" w:hAnsi="Arial" w:cs="Arial"/>
          <w:b/>
          <w:sz w:val="22"/>
          <w:szCs w:val="22"/>
          <w:lang w:eastAsia="en-GB"/>
        </w:rPr>
        <w:t xml:space="preserve"> practice </w:t>
      </w:r>
      <w:r w:rsidR="00FF0AB1" w:rsidRPr="0055056D">
        <w:rPr>
          <w:rFonts w:ascii="Arial" w:hAnsi="Arial" w:cs="Arial"/>
          <w:b/>
          <w:sz w:val="22"/>
          <w:szCs w:val="22"/>
          <w:lang w:eastAsia="en-GB"/>
        </w:rPr>
        <w:t>directl</w:t>
      </w:r>
      <w:r w:rsidR="00781DAE" w:rsidRPr="0055056D">
        <w:rPr>
          <w:rFonts w:ascii="Arial" w:hAnsi="Arial" w:cs="Arial"/>
          <w:b/>
          <w:sz w:val="22"/>
          <w:szCs w:val="22"/>
          <w:lang w:eastAsia="en-GB"/>
        </w:rPr>
        <w:t>y</w:t>
      </w:r>
      <w:r w:rsidR="00FF0AB1" w:rsidRPr="0055056D">
        <w:rPr>
          <w:rFonts w:ascii="Arial" w:hAnsi="Arial" w:cs="Arial"/>
          <w:b/>
          <w:sz w:val="22"/>
          <w:szCs w:val="22"/>
          <w:lang w:eastAsia="en-GB"/>
        </w:rPr>
        <w:t xml:space="preserve"> </w:t>
      </w:r>
      <w:r w:rsidR="008947F7" w:rsidRPr="0055056D">
        <w:rPr>
          <w:rFonts w:ascii="Arial" w:hAnsi="Arial" w:cs="Arial"/>
          <w:b/>
          <w:sz w:val="22"/>
          <w:szCs w:val="22"/>
          <w:lang w:eastAsia="en-GB"/>
        </w:rPr>
        <w:t xml:space="preserve">violating the fundamental right </w:t>
      </w:r>
      <w:r w:rsidR="00114564" w:rsidRPr="0055056D">
        <w:rPr>
          <w:rFonts w:ascii="Arial" w:hAnsi="Arial" w:cs="Arial"/>
          <w:b/>
          <w:sz w:val="22"/>
          <w:szCs w:val="22"/>
          <w:lang w:eastAsia="en-GB"/>
        </w:rPr>
        <w:t>of</w:t>
      </w:r>
      <w:r w:rsidR="008947F7" w:rsidRPr="0055056D">
        <w:rPr>
          <w:rFonts w:ascii="Arial" w:hAnsi="Arial" w:cs="Arial"/>
          <w:b/>
          <w:sz w:val="22"/>
          <w:szCs w:val="22"/>
          <w:lang w:eastAsia="en-GB"/>
        </w:rPr>
        <w:t xml:space="preserve"> the targeted individu</w:t>
      </w:r>
      <w:r w:rsidR="0040680F" w:rsidRPr="0055056D">
        <w:rPr>
          <w:rFonts w:ascii="Arial" w:hAnsi="Arial" w:cs="Arial"/>
          <w:b/>
          <w:sz w:val="22"/>
          <w:szCs w:val="22"/>
          <w:lang w:eastAsia="en-GB"/>
        </w:rPr>
        <w:t xml:space="preserve">als </w:t>
      </w:r>
      <w:r w:rsidR="00FF0AB1" w:rsidRPr="0055056D">
        <w:rPr>
          <w:rFonts w:ascii="Arial" w:hAnsi="Arial" w:cs="Arial"/>
          <w:b/>
          <w:sz w:val="22"/>
          <w:szCs w:val="22"/>
          <w:lang w:eastAsia="en-GB"/>
        </w:rPr>
        <w:t xml:space="preserve">and indirectly </w:t>
      </w:r>
      <w:r w:rsidR="00781DAE" w:rsidRPr="0055056D">
        <w:rPr>
          <w:rFonts w:ascii="Arial" w:hAnsi="Arial" w:cs="Arial"/>
          <w:b/>
          <w:sz w:val="22"/>
          <w:szCs w:val="22"/>
          <w:lang w:eastAsia="en-GB"/>
        </w:rPr>
        <w:t>threatening political dissent</w:t>
      </w:r>
      <w:r w:rsidR="00D82026" w:rsidRPr="0055056D">
        <w:rPr>
          <w:rFonts w:ascii="Arial" w:hAnsi="Arial" w:cs="Arial"/>
          <w:b/>
          <w:sz w:val="22"/>
          <w:szCs w:val="22"/>
          <w:lang w:eastAsia="en-GB"/>
        </w:rPr>
        <w:t xml:space="preserve"> to the ruling party’s ideology</w:t>
      </w:r>
      <w:r w:rsidR="00671A1D" w:rsidRPr="0055056D">
        <w:rPr>
          <w:rFonts w:ascii="Arial" w:hAnsi="Arial" w:cs="Arial"/>
          <w:sz w:val="22"/>
          <w:szCs w:val="22"/>
          <w:lang w:eastAsia="en-GB"/>
        </w:rPr>
        <w:t xml:space="preserve">. </w:t>
      </w:r>
    </w:p>
    <w:p w14:paraId="50A81E0C" w14:textId="77777777" w:rsidR="00986890" w:rsidRPr="0055056D" w:rsidRDefault="00986890" w:rsidP="005879E5">
      <w:pPr>
        <w:spacing w:after="160" w:line="259" w:lineRule="auto"/>
        <w:jc w:val="both"/>
        <w:rPr>
          <w:rFonts w:ascii="Arial" w:eastAsia="Calibri" w:hAnsi="Arial" w:cs="Arial"/>
          <w:b/>
          <w:sz w:val="22"/>
          <w:szCs w:val="22"/>
          <w:lang w:eastAsia="en-US"/>
        </w:rPr>
      </w:pPr>
    </w:p>
    <w:p w14:paraId="1F653C98" w14:textId="77777777" w:rsidR="002742A7" w:rsidRPr="0055056D" w:rsidRDefault="002742A7" w:rsidP="002742A7">
      <w:pPr>
        <w:pStyle w:val="MH1"/>
        <w:jc w:val="left"/>
        <w:rPr>
          <w:lang w:val="en-US"/>
        </w:rPr>
      </w:pPr>
      <w:bookmarkStart w:id="9" w:name="_Toc134020196"/>
      <w:r w:rsidRPr="0055056D">
        <w:rPr>
          <w:lang w:val="en-US"/>
        </w:rPr>
        <w:lastRenderedPageBreak/>
        <w:t xml:space="preserve">Recent Trends on the implementation of the Rule of Law facing threats from dissension </w:t>
      </w:r>
      <w:proofErr w:type="gramStart"/>
      <w:r w:rsidRPr="0055056D">
        <w:rPr>
          <w:lang w:val="en-US"/>
        </w:rPr>
        <w:t>actions</w:t>
      </w:r>
      <w:bookmarkEnd w:id="9"/>
      <w:proofErr w:type="gramEnd"/>
    </w:p>
    <w:p w14:paraId="3EB4C4F5" w14:textId="77777777" w:rsidR="0031085D" w:rsidRPr="0055056D" w:rsidRDefault="0031085D" w:rsidP="0031085D">
      <w:pPr>
        <w:pStyle w:val="MBT"/>
        <w:rPr>
          <w:lang w:val="en-US"/>
        </w:rPr>
      </w:pPr>
    </w:p>
    <w:p w14:paraId="2AAA8730" w14:textId="41DAA999" w:rsidR="00131239" w:rsidRPr="0055056D" w:rsidRDefault="00131239" w:rsidP="00F66A6B">
      <w:pPr>
        <w:pStyle w:val="MBT"/>
        <w:rPr>
          <w:i/>
          <w:iCs/>
          <w:color w:val="FF0000"/>
          <w:lang w:val="en-US"/>
        </w:rPr>
      </w:pPr>
      <w:r w:rsidRPr="0055056D">
        <w:rPr>
          <w:i/>
          <w:iCs/>
          <w:color w:val="FF0000"/>
          <w:lang w:val="en-US"/>
        </w:rPr>
        <w:t>This section examines developments across the Member States, both positive and negative, in two key areas for the rule of law: the anti-corruption framework and media pluralism and whether inter-institutional cooperation and support mechanisms to strengthen the rule of law have been implemented. In your research, please focus on measures taken to address dissenting actions</w:t>
      </w:r>
      <w:r w:rsidR="005863DE" w:rsidRPr="0055056D">
        <w:rPr>
          <w:i/>
          <w:iCs/>
          <w:color w:val="FF0000"/>
          <w:lang w:val="en-US"/>
        </w:rPr>
        <w:t>.</w:t>
      </w:r>
      <w:r w:rsidRPr="0055056D">
        <w:rPr>
          <w:i/>
          <w:iCs/>
          <w:color w:val="FF0000"/>
          <w:lang w:val="en-US"/>
        </w:rPr>
        <w:t xml:space="preserve"> </w:t>
      </w:r>
    </w:p>
    <w:p w14:paraId="6B110D95" w14:textId="545BEDCA" w:rsidR="00131239" w:rsidRPr="0055056D" w:rsidRDefault="00131239" w:rsidP="00F66A6B">
      <w:pPr>
        <w:pStyle w:val="MBT"/>
        <w:rPr>
          <w:i/>
          <w:iCs/>
          <w:color w:val="FF0000"/>
          <w:lang w:val="en-US"/>
        </w:rPr>
      </w:pPr>
      <w:r w:rsidRPr="0055056D">
        <w:rPr>
          <w:i/>
          <w:iCs/>
          <w:color w:val="FF0000"/>
          <w:lang w:val="en-US"/>
        </w:rPr>
        <w:t>As a starting point, please read the 2022 R</w:t>
      </w:r>
      <w:r w:rsidR="0030262A" w:rsidRPr="0055056D">
        <w:rPr>
          <w:i/>
          <w:iCs/>
          <w:color w:val="FF0000"/>
          <w:lang w:val="en-US"/>
        </w:rPr>
        <w:t>u</w:t>
      </w:r>
      <w:r w:rsidRPr="0055056D">
        <w:rPr>
          <w:i/>
          <w:iCs/>
          <w:color w:val="FF0000"/>
          <w:lang w:val="en-US"/>
        </w:rPr>
        <w:t>le of Law Report for your Member State.</w:t>
      </w:r>
      <w:r w:rsidRPr="0055056D">
        <w:rPr>
          <w:rStyle w:val="Rimandonotaapidipagina"/>
          <w:i/>
          <w:iCs/>
          <w:color w:val="FF0000"/>
          <w:lang w:val="en-US"/>
        </w:rPr>
        <w:footnoteReference w:id="136"/>
      </w:r>
    </w:p>
    <w:p w14:paraId="7E5C9C75" w14:textId="36F36C46" w:rsidR="005863DE" w:rsidRPr="0055056D" w:rsidRDefault="005863DE" w:rsidP="00F66A6B">
      <w:pPr>
        <w:pStyle w:val="MBT"/>
        <w:rPr>
          <w:i/>
          <w:iCs/>
          <w:color w:val="FF0000"/>
          <w:lang w:val="en-US"/>
        </w:rPr>
      </w:pPr>
      <w:bookmarkStart w:id="10" w:name="_Hlk131493976"/>
      <w:r w:rsidRPr="0055056D">
        <w:rPr>
          <w:i/>
          <w:iCs/>
          <w:color w:val="FF0000"/>
          <w:lang w:val="en-US"/>
        </w:rPr>
        <w:t>Please note that the Italian Report briefly analyses, among other instruments, the Technical Support Instruments. While it might not be an expected point in the reports, it could bring interesting points for the analysis of the relationship between the rule of law instruments at EU and national level. Should you find TSIs relevant for this section, please only refer to projects related to the rule of law.</w:t>
      </w:r>
    </w:p>
    <w:bookmarkEnd w:id="10"/>
    <w:p w14:paraId="78E08B34" w14:textId="617EB697" w:rsidR="00131239" w:rsidRPr="0055056D" w:rsidRDefault="008961C1" w:rsidP="008961C1">
      <w:pPr>
        <w:pStyle w:val="MH2"/>
        <w:numPr>
          <w:ilvl w:val="0"/>
          <w:numId w:val="0"/>
        </w:numPr>
        <w:rPr>
          <w:lang w:val="en-US"/>
        </w:rPr>
      </w:pPr>
      <w:r w:rsidRPr="0055056D">
        <w:rPr>
          <w:lang w:val="en-US"/>
        </w:rPr>
        <w:t xml:space="preserve">3.1. Anti-corruption </w:t>
      </w:r>
    </w:p>
    <w:p w14:paraId="3447D54A" w14:textId="294FC614" w:rsidR="001F44A5" w:rsidRPr="0055056D" w:rsidRDefault="003E380F" w:rsidP="001F44A5">
      <w:pPr>
        <w:pStyle w:val="MBT"/>
      </w:pPr>
      <w:r w:rsidRPr="0055056D">
        <w:t xml:space="preserve">Corruption </w:t>
      </w:r>
      <w:r w:rsidR="005B38C1" w:rsidRPr="0055056D">
        <w:t>constitutes a significant threat to the rule of law.</w:t>
      </w:r>
      <w:r w:rsidRPr="0055056D">
        <w:t xml:space="preserve"> </w:t>
      </w:r>
      <w:r w:rsidR="005B38C1" w:rsidRPr="0055056D">
        <w:t>It jeopardises the</w:t>
      </w:r>
      <w:r w:rsidRPr="0055056D">
        <w:t xml:space="preserve"> good functioning of public institutions and </w:t>
      </w:r>
      <w:r w:rsidR="00427BB2" w:rsidRPr="0055056D">
        <w:t xml:space="preserve">diverts </w:t>
      </w:r>
      <w:r w:rsidR="00233B48" w:rsidRPr="0055056D">
        <w:t>their human and financial capacities from public interest</w:t>
      </w:r>
      <w:r w:rsidRPr="0055056D">
        <w:t xml:space="preserve">. It </w:t>
      </w:r>
      <w:r w:rsidR="00427BB2" w:rsidRPr="0055056D">
        <w:t xml:space="preserve">can </w:t>
      </w:r>
      <w:r w:rsidRPr="0055056D">
        <w:t xml:space="preserve">disrupt the legislative process, introduce a degree of arbitrariness in decision-making and </w:t>
      </w:r>
      <w:r w:rsidR="00427BB2" w:rsidRPr="0055056D">
        <w:t xml:space="preserve">can </w:t>
      </w:r>
      <w:r w:rsidR="000D7D74" w:rsidRPr="0055056D">
        <w:t xml:space="preserve">be the </w:t>
      </w:r>
      <w:r w:rsidR="00F405D4" w:rsidRPr="0055056D">
        <w:t>breeding</w:t>
      </w:r>
      <w:r w:rsidR="000D7D74" w:rsidRPr="0055056D">
        <w:t xml:space="preserve"> ground of</w:t>
      </w:r>
      <w:r w:rsidR="00297431" w:rsidRPr="0055056D">
        <w:t xml:space="preserve"> human rights violations.</w:t>
      </w:r>
      <w:r w:rsidR="00090364" w:rsidRPr="0055056D">
        <w:t xml:space="preserve"> The form notwithstanding, corruption </w:t>
      </w:r>
      <w:r w:rsidRPr="0055056D">
        <w:t xml:space="preserve">undermines citizens’ trust in </w:t>
      </w:r>
      <w:r w:rsidR="00BE166C" w:rsidRPr="0055056D">
        <w:t>state</w:t>
      </w:r>
      <w:r w:rsidRPr="0055056D">
        <w:t xml:space="preserve"> institutions.</w:t>
      </w:r>
      <w:r w:rsidR="00BE166C" w:rsidRPr="0055056D">
        <w:t xml:space="preserve"> </w:t>
      </w:r>
      <w:r w:rsidR="00021CE8" w:rsidRPr="0055056D">
        <w:t>Against this conceptual framework, as outlined by the Parliamentary Assembly of the Council of Europe</w:t>
      </w:r>
      <w:r w:rsidR="00CB7252" w:rsidRPr="0055056D">
        <w:rPr>
          <w:rStyle w:val="Rimandonotaapidipagina"/>
        </w:rPr>
        <w:footnoteReference w:id="137"/>
      </w:r>
      <w:r w:rsidR="00021CE8" w:rsidRPr="0055056D">
        <w:t xml:space="preserve">, </w:t>
      </w:r>
      <w:r w:rsidR="001F44A5" w:rsidRPr="0055056D">
        <w:t xml:space="preserve">Hungary has the worst corruption </w:t>
      </w:r>
      <w:r w:rsidR="00D50B06" w:rsidRPr="0055056D">
        <w:t>perception score among all EU Member States according to the latest Transparency International</w:t>
      </w:r>
      <w:r w:rsidR="000D4EC3" w:rsidRPr="0055056D">
        <w:t xml:space="preserve"> Report</w:t>
      </w:r>
      <w:r w:rsidR="000D4EC3" w:rsidRPr="0055056D">
        <w:rPr>
          <w:rStyle w:val="Rimandonotaapidipagina"/>
        </w:rPr>
        <w:footnoteReference w:id="138"/>
      </w:r>
      <w:r w:rsidR="000D4EC3" w:rsidRPr="0055056D">
        <w:t>.</w:t>
      </w:r>
      <w:r w:rsidR="006860F6" w:rsidRPr="0055056D">
        <w:t xml:space="preserve"> The country’s </w:t>
      </w:r>
      <w:r w:rsidR="00D17FD3" w:rsidRPr="0055056D">
        <w:t xml:space="preserve">corruption perception </w:t>
      </w:r>
      <w:r w:rsidR="00A4246B" w:rsidRPr="0055056D">
        <w:t xml:space="preserve">index </w:t>
      </w:r>
      <w:r w:rsidR="00D17FD3" w:rsidRPr="0055056D">
        <w:t>has consistently deteriorated since 2012</w:t>
      </w:r>
      <w:r w:rsidR="00EA0B10" w:rsidRPr="0055056D">
        <w:t xml:space="preserve"> </w:t>
      </w:r>
      <w:r w:rsidR="006A2B80" w:rsidRPr="0055056D">
        <w:t>-</w:t>
      </w:r>
      <w:r w:rsidR="00EA0B10" w:rsidRPr="0055056D">
        <w:t xml:space="preserve"> </w:t>
      </w:r>
      <w:r w:rsidR="00A66D07" w:rsidRPr="0055056D">
        <w:t>in 2023</w:t>
      </w:r>
      <w:r w:rsidR="006E3FE9" w:rsidRPr="0055056D">
        <w:t xml:space="preserve"> standing at </w:t>
      </w:r>
      <w:r w:rsidR="00A66D07" w:rsidRPr="0055056D">
        <w:t xml:space="preserve">its lowest, </w:t>
      </w:r>
      <w:r w:rsidR="006E3FE9" w:rsidRPr="0055056D">
        <w:t>44/100</w:t>
      </w:r>
      <w:r w:rsidR="00A66D07" w:rsidRPr="0055056D">
        <w:t xml:space="preserve"> score</w:t>
      </w:r>
      <w:r w:rsidR="006E3FE9" w:rsidRPr="0055056D">
        <w:rPr>
          <w:rStyle w:val="Rimandonotaapidipagina"/>
        </w:rPr>
        <w:footnoteReference w:id="139"/>
      </w:r>
      <w:r w:rsidR="00A66D07" w:rsidRPr="0055056D">
        <w:t xml:space="preserve">, in yet another year marked by high-profile corruption cases closely entangled with the political elite. </w:t>
      </w:r>
      <w:r w:rsidR="003B5EF4" w:rsidRPr="0055056D">
        <w:t>In February 2023</w:t>
      </w:r>
      <w:r w:rsidR="0005231B" w:rsidRPr="0055056D">
        <w:t>,</w:t>
      </w:r>
      <w:r w:rsidR="003B5EF4" w:rsidRPr="0055056D">
        <w:t xml:space="preserve"> the largest corruption trial of recent years has started with 22 defendants</w:t>
      </w:r>
      <w:r w:rsidR="008D7A99" w:rsidRPr="0055056D">
        <w:t xml:space="preserve">, including the </w:t>
      </w:r>
      <w:r w:rsidR="003B5EF4" w:rsidRPr="0055056D">
        <w:t xml:space="preserve">prime accused, </w:t>
      </w:r>
      <w:proofErr w:type="spellStart"/>
      <w:r w:rsidR="003B5EF4" w:rsidRPr="0055056D">
        <w:t>György</w:t>
      </w:r>
      <w:proofErr w:type="spellEnd"/>
      <w:r w:rsidR="003B5EF4" w:rsidRPr="0055056D">
        <w:t xml:space="preserve"> </w:t>
      </w:r>
      <w:proofErr w:type="spellStart"/>
      <w:r w:rsidR="003B5EF4" w:rsidRPr="0055056D">
        <w:t>Schadl</w:t>
      </w:r>
      <w:proofErr w:type="spellEnd"/>
      <w:r w:rsidR="003B5EF4" w:rsidRPr="0055056D">
        <w:t xml:space="preserve">, the </w:t>
      </w:r>
      <w:r w:rsidR="00DE6C7B" w:rsidRPr="0055056D">
        <w:t>P</w:t>
      </w:r>
      <w:r w:rsidR="003B5EF4" w:rsidRPr="0055056D">
        <w:t xml:space="preserve">resident of the </w:t>
      </w:r>
      <w:r w:rsidR="00C424B5" w:rsidRPr="0055056D">
        <w:t>Hungarian Association of Judicial Officers</w:t>
      </w:r>
      <w:r w:rsidR="003B5EF4" w:rsidRPr="0055056D">
        <w:t xml:space="preserve">, and </w:t>
      </w:r>
      <w:proofErr w:type="spellStart"/>
      <w:r w:rsidR="003B5EF4" w:rsidRPr="0055056D">
        <w:t>Pál</w:t>
      </w:r>
      <w:proofErr w:type="spellEnd"/>
      <w:r w:rsidR="003B5EF4" w:rsidRPr="0055056D">
        <w:t xml:space="preserve"> </w:t>
      </w:r>
      <w:proofErr w:type="spellStart"/>
      <w:r w:rsidR="003B5EF4" w:rsidRPr="0055056D">
        <w:t>Völner</w:t>
      </w:r>
      <w:proofErr w:type="spellEnd"/>
      <w:r w:rsidR="003B5EF4" w:rsidRPr="0055056D">
        <w:t xml:space="preserve">, the former </w:t>
      </w:r>
      <w:r w:rsidR="00AD711D" w:rsidRPr="0055056D">
        <w:t>P</w:t>
      </w:r>
      <w:r w:rsidR="003B5EF4" w:rsidRPr="0055056D">
        <w:t xml:space="preserve">arliamentary </w:t>
      </w:r>
      <w:r w:rsidR="00AD711D" w:rsidRPr="0055056D">
        <w:t>S</w:t>
      </w:r>
      <w:r w:rsidR="003B5EF4" w:rsidRPr="0055056D">
        <w:t xml:space="preserve">tate </w:t>
      </w:r>
      <w:r w:rsidR="00AD711D" w:rsidRPr="0055056D">
        <w:t>S</w:t>
      </w:r>
      <w:r w:rsidR="003B5EF4" w:rsidRPr="0055056D">
        <w:t>ecretary of the Ministry of Justice</w:t>
      </w:r>
      <w:r w:rsidR="00723BDB" w:rsidRPr="0055056D">
        <w:rPr>
          <w:rStyle w:val="Rimandonotaapidipagina"/>
        </w:rPr>
        <w:footnoteReference w:id="140"/>
      </w:r>
      <w:r w:rsidR="003B5EF4" w:rsidRPr="0055056D">
        <w:t xml:space="preserve">. </w:t>
      </w:r>
      <w:r w:rsidR="004C369E" w:rsidRPr="0055056D">
        <w:t xml:space="preserve">Nevertheless, it was only on 27 April 2023 that </w:t>
      </w:r>
      <w:proofErr w:type="spellStart"/>
      <w:r w:rsidR="004C369E" w:rsidRPr="0055056D">
        <w:t>György</w:t>
      </w:r>
      <w:proofErr w:type="spellEnd"/>
      <w:r w:rsidR="004C369E" w:rsidRPr="0055056D">
        <w:t xml:space="preserve"> </w:t>
      </w:r>
      <w:proofErr w:type="spellStart"/>
      <w:r w:rsidR="004C369E" w:rsidRPr="0055056D">
        <w:t>Schadl</w:t>
      </w:r>
      <w:proofErr w:type="spellEnd"/>
      <w:r w:rsidR="00384A13" w:rsidRPr="0055056D">
        <w:t xml:space="preserve"> resigned</w:t>
      </w:r>
      <w:r w:rsidR="004C369E" w:rsidRPr="0055056D">
        <w:t xml:space="preserve"> </w:t>
      </w:r>
      <w:r w:rsidR="00384A13" w:rsidRPr="0055056D">
        <w:t xml:space="preserve">(along with the entire </w:t>
      </w:r>
      <w:r w:rsidR="00B97E55" w:rsidRPr="0055056D">
        <w:t>chairmanship</w:t>
      </w:r>
      <w:r w:rsidR="00384A13" w:rsidRPr="0055056D">
        <w:t xml:space="preserve"> of the association) </w:t>
      </w:r>
      <w:r w:rsidR="004C369E" w:rsidRPr="0055056D">
        <w:t xml:space="preserve">– after </w:t>
      </w:r>
      <w:r w:rsidR="00384A13" w:rsidRPr="0055056D">
        <w:t>he</w:t>
      </w:r>
      <w:r w:rsidR="0099364D" w:rsidRPr="0055056D">
        <w:t xml:space="preserve"> </w:t>
      </w:r>
      <w:r w:rsidR="00B97E55" w:rsidRPr="0055056D">
        <w:t xml:space="preserve">has </w:t>
      </w:r>
      <w:r w:rsidR="0099364D" w:rsidRPr="0055056D">
        <w:t>spent</w:t>
      </w:r>
      <w:r w:rsidR="004C369E" w:rsidRPr="0055056D">
        <w:t xml:space="preserve"> the previous year and a half in detention</w:t>
      </w:r>
      <w:r w:rsidR="0099364D" w:rsidRPr="0055056D">
        <w:rPr>
          <w:rStyle w:val="Rimandonotaapidipagina"/>
        </w:rPr>
        <w:footnoteReference w:id="141"/>
      </w:r>
      <w:r w:rsidR="004C369E" w:rsidRPr="0055056D">
        <w:t>.</w:t>
      </w:r>
    </w:p>
    <w:p w14:paraId="32167FF9" w14:textId="1702903C" w:rsidR="00BC21C0" w:rsidRPr="0055056D" w:rsidRDefault="001A4BFE" w:rsidP="0045605A">
      <w:pPr>
        <w:pStyle w:val="MBT"/>
      </w:pPr>
      <w:bookmarkStart w:id="11" w:name="_Hlk133409048"/>
      <w:r w:rsidRPr="0055056D">
        <w:t xml:space="preserve">Against this background, </w:t>
      </w:r>
      <w:r w:rsidR="00D437B6" w:rsidRPr="0055056D">
        <w:t xml:space="preserve">the efficacy of the procedures available </w:t>
      </w:r>
      <w:r w:rsidR="003502D6" w:rsidRPr="0055056D">
        <w:t>in</w:t>
      </w:r>
      <w:r w:rsidR="00D437B6" w:rsidRPr="0055056D">
        <w:t xml:space="preserve"> national law </w:t>
      </w:r>
      <w:r w:rsidR="00FE54A7" w:rsidRPr="0055056D">
        <w:t>to protect</w:t>
      </w:r>
      <w:r w:rsidR="00D437B6" w:rsidRPr="0055056D">
        <w:t xml:space="preserve"> </w:t>
      </w:r>
      <w:r w:rsidR="00853151" w:rsidRPr="0055056D">
        <w:t xml:space="preserve">the rule of law from the threats brought about by corruption are questionable. </w:t>
      </w:r>
      <w:bookmarkEnd w:id="11"/>
      <w:r w:rsidR="00961C69" w:rsidRPr="0055056D">
        <w:t>T</w:t>
      </w:r>
      <w:r w:rsidR="00743703" w:rsidRPr="0055056D">
        <w:t xml:space="preserve">he </w:t>
      </w:r>
      <w:r w:rsidR="00961C69" w:rsidRPr="0055056D">
        <w:t xml:space="preserve">main law enforcement agency responsible for anti-corruption is the </w:t>
      </w:r>
      <w:r w:rsidR="00743703" w:rsidRPr="0055056D">
        <w:t xml:space="preserve">National Protection Service, </w:t>
      </w:r>
      <w:r w:rsidR="00961C69" w:rsidRPr="0055056D">
        <w:t>which is overseen by the</w:t>
      </w:r>
      <w:r w:rsidR="00743703" w:rsidRPr="0055056D">
        <w:t xml:space="preserve"> Ministry of Interior</w:t>
      </w:r>
      <w:r w:rsidR="002D14F6" w:rsidRPr="0055056D">
        <w:t xml:space="preserve"> that is also in charge of related </w:t>
      </w:r>
      <w:r w:rsidR="00EB7E99" w:rsidRPr="0055056D">
        <w:t>policymaking</w:t>
      </w:r>
      <w:r w:rsidR="002D14F6" w:rsidRPr="0055056D">
        <w:t>.</w:t>
      </w:r>
      <w:r w:rsidR="000B66A0" w:rsidRPr="0055056D">
        <w:t xml:space="preserve"> </w:t>
      </w:r>
      <w:r w:rsidR="00854761" w:rsidRPr="0055056D">
        <w:t xml:space="preserve">Private sector corruption cases are investigated by the police, whereas </w:t>
      </w:r>
      <w:r w:rsidR="00BC21C0" w:rsidRPr="0055056D">
        <w:t xml:space="preserve">corruption in the public sector fall under the exclusive </w:t>
      </w:r>
      <w:r w:rsidR="00BC21C0" w:rsidRPr="0055056D">
        <w:lastRenderedPageBreak/>
        <w:t>competence of the Investigation</w:t>
      </w:r>
      <w:r w:rsidR="00351047" w:rsidRPr="0055056D">
        <w:t xml:space="preserve"> </w:t>
      </w:r>
      <w:r w:rsidR="00BC21C0" w:rsidRPr="0055056D">
        <w:t>Division of the Central Chief Prosecution Office of Investigation</w:t>
      </w:r>
      <w:r w:rsidR="008D0C39" w:rsidRPr="0055056D">
        <w:rPr>
          <w:rStyle w:val="Rimandonotaapidipagina"/>
        </w:rPr>
        <w:footnoteReference w:id="142"/>
      </w:r>
      <w:r w:rsidR="008D0C39" w:rsidRPr="0055056D">
        <w:t>.</w:t>
      </w:r>
      <w:r w:rsidR="0045605A" w:rsidRPr="0055056D">
        <w:t xml:space="preserve"> These </w:t>
      </w:r>
      <w:r w:rsidR="0045605A" w:rsidRPr="0055056D">
        <w:rPr>
          <w:b/>
        </w:rPr>
        <w:t>preventative and investigative functions</w:t>
      </w:r>
      <w:r w:rsidR="0045605A" w:rsidRPr="0055056D">
        <w:t xml:space="preserve"> are also complemented by the work of the </w:t>
      </w:r>
      <w:r w:rsidR="00BC21C0" w:rsidRPr="0055056D">
        <w:t>National Tax and Customs Administration</w:t>
      </w:r>
      <w:r w:rsidR="0045605A" w:rsidRPr="0055056D">
        <w:t xml:space="preserve"> as well as t</w:t>
      </w:r>
      <w:r w:rsidR="00BC21C0" w:rsidRPr="0055056D">
        <w:t>he State Audit Office</w:t>
      </w:r>
      <w:r w:rsidR="00EC3CA7" w:rsidRPr="0055056D">
        <w:t>. In addition,</w:t>
      </w:r>
      <w:r w:rsidR="00116DEB" w:rsidRPr="0055056D">
        <w:t xml:space="preserve"> various anti-corruption </w:t>
      </w:r>
      <w:r w:rsidR="00EC3CA7" w:rsidRPr="0055056D">
        <w:t>processes are in place at</w:t>
      </w:r>
      <w:r w:rsidR="00116DEB" w:rsidRPr="0055056D">
        <w:t xml:space="preserve"> the Hungarian Competition Authority, the Public Procurement Authority, the </w:t>
      </w:r>
      <w:r w:rsidR="005B6430" w:rsidRPr="0055056D">
        <w:t>P</w:t>
      </w:r>
      <w:r w:rsidR="00116DEB" w:rsidRPr="0055056D">
        <w:t xml:space="preserve">rosecution </w:t>
      </w:r>
      <w:r w:rsidR="005B6430" w:rsidRPr="0055056D">
        <w:t>S</w:t>
      </w:r>
      <w:r w:rsidR="00116DEB" w:rsidRPr="0055056D">
        <w:t xml:space="preserve">ervice, </w:t>
      </w:r>
      <w:r w:rsidR="005B6430" w:rsidRPr="0055056D">
        <w:t>and</w:t>
      </w:r>
      <w:r w:rsidR="00116DEB" w:rsidRPr="0055056D">
        <w:t xml:space="preserve"> the Government Control Office</w:t>
      </w:r>
      <w:r w:rsidR="00EC3CA7" w:rsidRPr="0055056D">
        <w:t xml:space="preserve"> – all of which, however, are </w:t>
      </w:r>
      <w:r w:rsidR="0038238C" w:rsidRPr="0055056D">
        <w:t>administered by the minister in charge of the thematic area</w:t>
      </w:r>
      <w:r w:rsidR="0045605A" w:rsidRPr="0055056D">
        <w:t>.</w:t>
      </w:r>
      <w:r w:rsidR="00BC21C0" w:rsidRPr="0055056D">
        <w:t xml:space="preserve"> </w:t>
      </w:r>
      <w:r w:rsidR="00A677B7" w:rsidRPr="0055056D">
        <w:t>S</w:t>
      </w:r>
      <w:r w:rsidR="00496199" w:rsidRPr="0055056D">
        <w:t xml:space="preserve">ince mid-2022, the National Protection Service can only carry out </w:t>
      </w:r>
      <w:r w:rsidR="00496199" w:rsidRPr="0055056D">
        <w:rPr>
          <w:b/>
        </w:rPr>
        <w:t>integrity checks</w:t>
      </w:r>
      <w:r w:rsidR="00496199" w:rsidRPr="0055056D">
        <w:t xml:space="preserve"> </w:t>
      </w:r>
      <w:r w:rsidR="00BA06E1" w:rsidRPr="0055056D">
        <w:rPr>
          <w:i/>
          <w:iCs/>
        </w:rPr>
        <w:t>vis-à-vis</w:t>
      </w:r>
      <w:r w:rsidR="00BA06E1" w:rsidRPr="0055056D">
        <w:t xml:space="preserve"> </w:t>
      </w:r>
      <w:r w:rsidR="00496199" w:rsidRPr="0055056D">
        <w:t>the</w:t>
      </w:r>
      <w:r w:rsidR="00632545" w:rsidRPr="0055056D">
        <w:t xml:space="preserve"> </w:t>
      </w:r>
      <w:r w:rsidR="00496199" w:rsidRPr="0055056D">
        <w:t xml:space="preserve">staff of institutions </w:t>
      </w:r>
      <w:r w:rsidR="00D00270" w:rsidRPr="0055056D">
        <w:t>under</w:t>
      </w:r>
      <w:r w:rsidR="00496199" w:rsidRPr="0055056D">
        <w:t xml:space="preserve"> the </w:t>
      </w:r>
      <w:r w:rsidR="00B516D7" w:rsidRPr="0055056D">
        <w:t xml:space="preserve">supervision of the </w:t>
      </w:r>
      <w:r w:rsidR="00496199" w:rsidRPr="0055056D">
        <w:t>Ministry of Interior,</w:t>
      </w:r>
      <w:r w:rsidR="00632545" w:rsidRPr="0055056D">
        <w:t xml:space="preserve"> </w:t>
      </w:r>
      <w:r w:rsidR="00496199" w:rsidRPr="0055056D">
        <w:t xml:space="preserve">as well as public healthcare providers. </w:t>
      </w:r>
      <w:r w:rsidR="00632545" w:rsidRPr="0055056D">
        <w:t xml:space="preserve">Whereas the </w:t>
      </w:r>
      <w:r w:rsidR="00496199" w:rsidRPr="0055056D">
        <w:t xml:space="preserve">integrity tests and crime detection for </w:t>
      </w:r>
      <w:r w:rsidR="00FF6268" w:rsidRPr="0055056D">
        <w:t xml:space="preserve">public administrative </w:t>
      </w:r>
      <w:r w:rsidR="003B26E5" w:rsidRPr="0055056D">
        <w:t>staff not in healthcare o</w:t>
      </w:r>
      <w:r w:rsidR="00694F73" w:rsidRPr="0055056D">
        <w:t>r</w:t>
      </w:r>
      <w:r w:rsidR="003B26E5" w:rsidRPr="0055056D">
        <w:t xml:space="preserve"> under the Interior Ministry’s supervision</w:t>
      </w:r>
      <w:r w:rsidR="00496199" w:rsidRPr="0055056D">
        <w:t xml:space="preserve"> </w:t>
      </w:r>
      <w:r w:rsidR="00632545" w:rsidRPr="0055056D">
        <w:t>is allocated to</w:t>
      </w:r>
      <w:r w:rsidR="00496199" w:rsidRPr="0055056D">
        <w:t xml:space="preserve"> the Constitution Protection Office</w:t>
      </w:r>
      <w:r w:rsidR="0096585D" w:rsidRPr="0055056D">
        <w:t>, which is</w:t>
      </w:r>
      <w:r w:rsidR="00496199" w:rsidRPr="0055056D">
        <w:t xml:space="preserve"> one of</w:t>
      </w:r>
      <w:r w:rsidR="0096585D" w:rsidRPr="0055056D">
        <w:t xml:space="preserve"> </w:t>
      </w:r>
      <w:r w:rsidR="00496199" w:rsidRPr="0055056D">
        <w:t>Hungary’s civilian secret services, overseen by the Prime Minister’s Cabinet Office</w:t>
      </w:r>
      <w:r w:rsidR="00C20E3F" w:rsidRPr="0055056D">
        <w:t xml:space="preserve">, functioning </w:t>
      </w:r>
      <w:r w:rsidR="00AB564D" w:rsidRPr="0055056D">
        <w:t>in a less transparent manner – and with neither procedure covering political leaders</w:t>
      </w:r>
      <w:r w:rsidR="00556EF5" w:rsidRPr="0055056D">
        <w:t>.</w:t>
      </w:r>
      <w:r w:rsidR="0096585D" w:rsidRPr="0055056D">
        <w:rPr>
          <w:rStyle w:val="Rimandonotaapidipagina"/>
        </w:rPr>
        <w:footnoteReference w:id="143"/>
      </w:r>
    </w:p>
    <w:p w14:paraId="1B9CC15F" w14:textId="6FEF9ADA" w:rsidR="00967350" w:rsidRPr="0055056D" w:rsidRDefault="002B2B76" w:rsidP="00AB6D91">
      <w:pPr>
        <w:pStyle w:val="MBT"/>
      </w:pPr>
      <w:r w:rsidRPr="0055056D">
        <w:t xml:space="preserve">In the </w:t>
      </w:r>
      <w:r w:rsidR="0090618F" w:rsidRPr="0055056D">
        <w:t>course of</w:t>
      </w:r>
      <w:r w:rsidR="00042E6E" w:rsidRPr="0055056D">
        <w:t xml:space="preserve"> </w:t>
      </w:r>
      <w:r w:rsidR="0092308A" w:rsidRPr="0055056D">
        <w:t xml:space="preserve">2022, </w:t>
      </w:r>
      <w:r w:rsidR="00E238A3" w:rsidRPr="0055056D">
        <w:t>the</w:t>
      </w:r>
      <w:r w:rsidR="001B347A" w:rsidRPr="0055056D">
        <w:t xml:space="preserve"> national rule of law framework has been </w:t>
      </w:r>
      <w:r w:rsidR="0090618F" w:rsidRPr="0055056D">
        <w:t xml:space="preserve">strengthened, which however took place in </w:t>
      </w:r>
      <w:r w:rsidR="008B4456" w:rsidRPr="0055056D">
        <w:t xml:space="preserve">a national </w:t>
      </w:r>
      <w:r w:rsidR="00A1288D" w:rsidRPr="0055056D">
        <w:t xml:space="preserve">context where the </w:t>
      </w:r>
      <w:r w:rsidR="00314A8D" w:rsidRPr="0055056D">
        <w:t xml:space="preserve">state of play </w:t>
      </w:r>
      <w:r w:rsidR="00AB6D91" w:rsidRPr="0055056D">
        <w:t>had led to</w:t>
      </w:r>
      <w:r w:rsidR="00314A8D" w:rsidRPr="0055056D">
        <w:t xml:space="preserve"> the European Commission </w:t>
      </w:r>
      <w:r w:rsidR="00AB6D91" w:rsidRPr="0055056D">
        <w:t xml:space="preserve">triggering the EU’s </w:t>
      </w:r>
      <w:r w:rsidR="00967350" w:rsidRPr="0055056D">
        <w:t xml:space="preserve">conditionality mechanism </w:t>
      </w:r>
      <w:r w:rsidR="00AB6D91" w:rsidRPr="0055056D">
        <w:t>as well as</w:t>
      </w:r>
      <w:r w:rsidR="00445FAC" w:rsidRPr="0055056D">
        <w:t xml:space="preserve"> to</w:t>
      </w:r>
      <w:r w:rsidR="00967350" w:rsidRPr="0055056D">
        <w:t xml:space="preserve"> the negotiations over Hungary’s Recovery and Resilience Plan.</w:t>
      </w:r>
      <w:r w:rsidR="00445FAC" w:rsidRPr="0055056D">
        <w:t xml:space="preserve"> </w:t>
      </w:r>
      <w:r w:rsidR="001D15F1" w:rsidRPr="0055056D">
        <w:t>I</w:t>
      </w:r>
      <w:r w:rsidR="0069070F" w:rsidRPr="0055056D">
        <w:t>t was only i</w:t>
      </w:r>
      <w:r w:rsidR="001D15F1" w:rsidRPr="0055056D">
        <w:t xml:space="preserve">n response to these EU-level </w:t>
      </w:r>
      <w:proofErr w:type="spellStart"/>
      <w:r w:rsidR="001D15F1" w:rsidRPr="0055056D">
        <w:t>RoL</w:t>
      </w:r>
      <w:proofErr w:type="spellEnd"/>
      <w:r w:rsidR="001D15F1" w:rsidRPr="0055056D">
        <w:t xml:space="preserve"> mechanisms</w:t>
      </w:r>
      <w:r w:rsidR="0069070F" w:rsidRPr="0055056D">
        <w:t xml:space="preserve"> that </w:t>
      </w:r>
      <w:r w:rsidR="00445FAC" w:rsidRPr="0055056D">
        <w:t xml:space="preserve">Hungary </w:t>
      </w:r>
      <w:r w:rsidR="009F0735" w:rsidRPr="0055056D">
        <w:t xml:space="preserve">committed to meeting </w:t>
      </w:r>
      <w:r w:rsidR="009F0735" w:rsidRPr="0055056D">
        <w:rPr>
          <w:bCs w:val="0"/>
        </w:rPr>
        <w:t xml:space="preserve">27 </w:t>
      </w:r>
      <w:r w:rsidR="009059E4" w:rsidRPr="0055056D">
        <w:rPr>
          <w:bCs w:val="0"/>
        </w:rPr>
        <w:t xml:space="preserve">rule of law related </w:t>
      </w:r>
      <w:r w:rsidR="00775888" w:rsidRPr="0055056D">
        <w:rPr>
          <w:bCs w:val="0"/>
        </w:rPr>
        <w:t>‘</w:t>
      </w:r>
      <w:r w:rsidR="009F0735" w:rsidRPr="0055056D">
        <w:rPr>
          <w:bCs w:val="0"/>
        </w:rPr>
        <w:t>super milestones</w:t>
      </w:r>
      <w:r w:rsidR="00775888" w:rsidRPr="0055056D">
        <w:rPr>
          <w:bCs w:val="0"/>
        </w:rPr>
        <w:t>’</w:t>
      </w:r>
      <w:r w:rsidR="005A309F" w:rsidRPr="0055056D">
        <w:rPr>
          <w:bCs w:val="0"/>
        </w:rPr>
        <w:t xml:space="preserve"> </w:t>
      </w:r>
      <w:r w:rsidR="00B10F70" w:rsidRPr="0055056D">
        <w:t>with the objective of</w:t>
      </w:r>
      <w:r w:rsidR="005A309F" w:rsidRPr="0055056D">
        <w:t xml:space="preserve"> protect</w:t>
      </w:r>
      <w:r w:rsidR="00B10F70" w:rsidRPr="0055056D">
        <w:t>ing</w:t>
      </w:r>
      <w:r w:rsidR="005A309F" w:rsidRPr="0055056D">
        <w:t xml:space="preserve"> the financial interests of the European Union</w:t>
      </w:r>
      <w:r w:rsidR="00BB0AB3" w:rsidRPr="0055056D">
        <w:rPr>
          <w:rStyle w:val="Rimandonotaapidipagina"/>
        </w:rPr>
        <w:footnoteReference w:id="144"/>
      </w:r>
      <w:r w:rsidR="005A309F" w:rsidRPr="0055056D">
        <w:t>.</w:t>
      </w:r>
      <w:r w:rsidR="00B10F70" w:rsidRPr="0055056D">
        <w:t xml:space="preserve"> However, n</w:t>
      </w:r>
      <w:r w:rsidR="0092308A" w:rsidRPr="0055056D">
        <w:t>ational NGOs reiterated that despite the pledges</w:t>
      </w:r>
      <w:r w:rsidR="005A48BD" w:rsidRPr="0055056D">
        <w:t xml:space="preserve">, little substantive improvement has been achieved </w:t>
      </w:r>
      <w:r w:rsidR="00964950" w:rsidRPr="0055056D">
        <w:t xml:space="preserve">in practice </w:t>
      </w:r>
      <w:r w:rsidR="008E57B7" w:rsidRPr="0055056D">
        <w:t xml:space="preserve">and has called on the </w:t>
      </w:r>
      <w:r w:rsidR="00964950" w:rsidRPr="0055056D">
        <w:t xml:space="preserve">European </w:t>
      </w:r>
      <w:r w:rsidR="008E57B7" w:rsidRPr="0055056D">
        <w:t xml:space="preserve">Commission to be more intransigent </w:t>
      </w:r>
      <w:proofErr w:type="gramStart"/>
      <w:r w:rsidR="00964950" w:rsidRPr="0055056D">
        <w:t xml:space="preserve">in order </w:t>
      </w:r>
      <w:r w:rsidR="008E57B7" w:rsidRPr="0055056D">
        <w:t>to</w:t>
      </w:r>
      <w:proofErr w:type="gramEnd"/>
      <w:r w:rsidR="008E57B7" w:rsidRPr="0055056D">
        <w:t xml:space="preserve"> stop systemic corruption in Hungary</w:t>
      </w:r>
      <w:r w:rsidR="007E2518" w:rsidRPr="0055056D">
        <w:rPr>
          <w:rStyle w:val="Rimandonotaapidipagina"/>
        </w:rPr>
        <w:footnoteReference w:id="145"/>
      </w:r>
      <w:r w:rsidR="006B7D02" w:rsidRPr="0055056D">
        <w:t xml:space="preserve">. </w:t>
      </w:r>
    </w:p>
    <w:p w14:paraId="7B77D5B5" w14:textId="66EFC600" w:rsidR="004D6B87" w:rsidRPr="0055056D" w:rsidRDefault="00C42270" w:rsidP="003369B8">
      <w:pPr>
        <w:pStyle w:val="MBT"/>
      </w:pPr>
      <w:r w:rsidRPr="0055056D">
        <w:t>As part of the abo</w:t>
      </w:r>
      <w:r w:rsidR="00B40171" w:rsidRPr="0055056D">
        <w:t>v</w:t>
      </w:r>
      <w:r w:rsidRPr="0055056D">
        <w:t>e efforts, i</w:t>
      </w:r>
      <w:r w:rsidR="00491AFB" w:rsidRPr="0055056D">
        <w:t xml:space="preserve">n 2022, the Anti-Corruption Task Force was set up as well as the investigative judges of the Buda Central District Court were assigned exclusive competence to examine </w:t>
      </w:r>
      <w:r w:rsidR="00491AFB" w:rsidRPr="0055056D">
        <w:rPr>
          <w:b/>
          <w:bCs w:val="0"/>
        </w:rPr>
        <w:t>individual complaints concerning the termination of corruption investigations</w:t>
      </w:r>
      <w:r w:rsidR="00491AFB" w:rsidRPr="0055056D">
        <w:t xml:space="preserve">. </w:t>
      </w:r>
      <w:r w:rsidR="004838A4" w:rsidRPr="0055056D">
        <w:t>A</w:t>
      </w:r>
      <w:r w:rsidR="00875ACA" w:rsidRPr="0055056D">
        <w:t xml:space="preserve"> relevant </w:t>
      </w:r>
      <w:r w:rsidR="004838A4" w:rsidRPr="0055056D">
        <w:t xml:space="preserve">tool added to the national </w:t>
      </w:r>
      <w:r w:rsidR="00A03479" w:rsidRPr="0055056D">
        <w:t xml:space="preserve">anti-corruption </w:t>
      </w:r>
      <w:r w:rsidR="000F72CB" w:rsidRPr="0055056D">
        <w:t>processes</w:t>
      </w:r>
      <w:r w:rsidR="00A24E8F" w:rsidRPr="0055056D">
        <w:t xml:space="preserve"> </w:t>
      </w:r>
      <w:r w:rsidR="00C12222" w:rsidRPr="0055056D">
        <w:t>is</w:t>
      </w:r>
      <w:r w:rsidR="00857EE7" w:rsidRPr="0055056D">
        <w:t xml:space="preserve"> </w:t>
      </w:r>
      <w:r w:rsidR="00857EE7" w:rsidRPr="0055056D">
        <w:rPr>
          <w:b/>
          <w:bCs w:val="0"/>
        </w:rPr>
        <w:t xml:space="preserve">the </w:t>
      </w:r>
      <w:r w:rsidR="00F81BD2" w:rsidRPr="0055056D">
        <w:rPr>
          <w:b/>
          <w:bCs w:val="0"/>
        </w:rPr>
        <w:t xml:space="preserve">group of </w:t>
      </w:r>
      <w:r w:rsidR="00A919D9" w:rsidRPr="0055056D">
        <w:rPr>
          <w:b/>
          <w:bCs w:val="0"/>
        </w:rPr>
        <w:t>acts</w:t>
      </w:r>
      <w:r w:rsidR="00BC08DF" w:rsidRPr="0055056D">
        <w:rPr>
          <w:b/>
          <w:bCs w:val="0"/>
        </w:rPr>
        <w:t xml:space="preserve"> the newly established the</w:t>
      </w:r>
      <w:r w:rsidR="00BC08DF" w:rsidRPr="0055056D">
        <w:t xml:space="preserve"> </w:t>
      </w:r>
      <w:r w:rsidR="00BC08DF" w:rsidRPr="0055056D">
        <w:rPr>
          <w:b/>
          <w:bCs w:val="0"/>
        </w:rPr>
        <w:t>Integrity Authority</w:t>
      </w:r>
      <w:r w:rsidR="00A919D9" w:rsidRPr="0055056D">
        <w:t xml:space="preserve"> </w:t>
      </w:r>
      <w:r w:rsidR="00BC08DF" w:rsidRPr="0055056D">
        <w:t xml:space="preserve">can carry out </w:t>
      </w:r>
      <w:r w:rsidR="00A919D9" w:rsidRPr="0055056D">
        <w:t>in all cases where</w:t>
      </w:r>
      <w:r w:rsidR="00BC08DF" w:rsidRPr="0055056D">
        <w:t xml:space="preserve"> </w:t>
      </w:r>
      <w:r w:rsidR="00A919D9" w:rsidRPr="0055056D">
        <w:t xml:space="preserve">an organization </w:t>
      </w:r>
      <w:r w:rsidR="00BC08DF" w:rsidRPr="0055056D">
        <w:t>that has</w:t>
      </w:r>
      <w:r w:rsidR="00A919D9" w:rsidRPr="0055056D">
        <w:t xml:space="preserve"> tasks and powers in the use of </w:t>
      </w:r>
      <w:r w:rsidR="00BC08DF" w:rsidRPr="0055056D">
        <w:t>EU</w:t>
      </w:r>
      <w:r w:rsidR="00A919D9" w:rsidRPr="0055056D">
        <w:t xml:space="preserve"> funds has not taken the necessary steps </w:t>
      </w:r>
      <w:r w:rsidR="00BC08DF" w:rsidRPr="0055056D">
        <w:t>to prevent, detect and correct</w:t>
      </w:r>
      <w:r w:rsidR="00A919D9" w:rsidRPr="0055056D">
        <w:t xml:space="preserve"> </w:t>
      </w:r>
      <w:r w:rsidR="00BC08DF" w:rsidRPr="0055056D">
        <w:t xml:space="preserve">irregularities, in particular, </w:t>
      </w:r>
      <w:r w:rsidR="00A919D9" w:rsidRPr="0055056D">
        <w:t xml:space="preserve">fraud, conflict of interest, corruption and other violations of law </w:t>
      </w:r>
      <w:r w:rsidR="00AA3307" w:rsidRPr="0055056D">
        <w:t>that affect</w:t>
      </w:r>
      <w:r w:rsidR="00A919D9" w:rsidRPr="0055056D">
        <w:t xml:space="preserve"> the efficient and effective financial management of the </w:t>
      </w:r>
      <w:r w:rsidR="00265CAE" w:rsidRPr="0055056D">
        <w:t>EU</w:t>
      </w:r>
      <w:r w:rsidR="00A919D9" w:rsidRPr="0055056D">
        <w:t xml:space="preserve"> budget or the protection of the </w:t>
      </w:r>
      <w:r w:rsidR="00265CAE" w:rsidRPr="0055056D">
        <w:t xml:space="preserve">EU’s </w:t>
      </w:r>
      <w:r w:rsidR="00A919D9" w:rsidRPr="0055056D">
        <w:t>financial interests</w:t>
      </w:r>
      <w:r w:rsidR="009A76EC" w:rsidRPr="0055056D">
        <w:rPr>
          <w:rStyle w:val="Rimandonotaapidipagina"/>
        </w:rPr>
        <w:footnoteReference w:id="146"/>
      </w:r>
      <w:r w:rsidR="00BA24FC" w:rsidRPr="0055056D">
        <w:t xml:space="preserve">. The </w:t>
      </w:r>
      <w:r w:rsidR="005C08D9" w:rsidRPr="0055056D">
        <w:t>Integrity Authority is</w:t>
      </w:r>
      <w:r w:rsidR="00BA24FC" w:rsidRPr="0055056D">
        <w:t>, however, wholly reliant on other government agencies in carrying out its mandate</w:t>
      </w:r>
      <w:r w:rsidR="005B7675" w:rsidRPr="0055056D">
        <w:t xml:space="preserve">, </w:t>
      </w:r>
      <w:r w:rsidR="00536A38" w:rsidRPr="0055056D">
        <w:t>that,</w:t>
      </w:r>
      <w:r w:rsidR="005B7675" w:rsidRPr="0055056D">
        <w:t xml:space="preserve"> as reported by national CSOs, have proven reluctant to uncover wrongdoing</w:t>
      </w:r>
      <w:r w:rsidR="00A81E34" w:rsidRPr="0055056D">
        <w:t>s</w:t>
      </w:r>
      <w:r w:rsidR="005B7675" w:rsidRPr="0055056D">
        <w:t xml:space="preserve"> associated with the government</w:t>
      </w:r>
      <w:r w:rsidR="005B7675" w:rsidRPr="0055056D">
        <w:rPr>
          <w:rStyle w:val="Rimandonotaapidipagina"/>
        </w:rPr>
        <w:footnoteReference w:id="147"/>
      </w:r>
      <w:r w:rsidR="005B7675" w:rsidRPr="0055056D">
        <w:t>.</w:t>
      </w:r>
      <w:r w:rsidR="00824447" w:rsidRPr="0055056D">
        <w:t xml:space="preserve"> In addition, </w:t>
      </w:r>
      <w:r w:rsidR="0057530E" w:rsidRPr="0055056D">
        <w:t xml:space="preserve">the </w:t>
      </w:r>
      <w:r w:rsidR="005D2A9A" w:rsidRPr="0055056D">
        <w:rPr>
          <w:b/>
          <w:bCs w:val="0"/>
        </w:rPr>
        <w:t>monitoring procedure of the newly established</w:t>
      </w:r>
      <w:r w:rsidR="005D2A9A" w:rsidRPr="0055056D">
        <w:t xml:space="preserve"> </w:t>
      </w:r>
      <w:r w:rsidR="0057530E" w:rsidRPr="0055056D">
        <w:rPr>
          <w:b/>
          <w:bCs w:val="0"/>
        </w:rPr>
        <w:t>Directorate for Internal Audit and Integrity</w:t>
      </w:r>
      <w:r w:rsidR="005D2A9A" w:rsidRPr="0055056D">
        <w:t xml:space="preserve"> </w:t>
      </w:r>
      <w:r w:rsidR="00613B4E" w:rsidRPr="0055056D">
        <w:t xml:space="preserve">is another procedure </w:t>
      </w:r>
      <w:r w:rsidR="00BD12A0" w:rsidRPr="0055056D">
        <w:t xml:space="preserve">that aims at curbing corruption </w:t>
      </w:r>
      <w:r w:rsidR="003D5577" w:rsidRPr="0055056D">
        <w:t>–</w:t>
      </w:r>
      <w:r w:rsidR="00582562" w:rsidRPr="0055056D">
        <w:t xml:space="preserve"> </w:t>
      </w:r>
      <w:r w:rsidR="003D5577" w:rsidRPr="0055056D">
        <w:t xml:space="preserve">specifically via </w:t>
      </w:r>
      <w:r w:rsidR="00582562" w:rsidRPr="0055056D">
        <w:t>monitor</w:t>
      </w:r>
      <w:r w:rsidR="003D5577" w:rsidRPr="0055056D">
        <w:t>ing</w:t>
      </w:r>
      <w:r w:rsidR="00582562" w:rsidRPr="0055056D">
        <w:t xml:space="preserve"> conflict of interest</w:t>
      </w:r>
      <w:r w:rsidR="003D5577" w:rsidRPr="0055056D">
        <w:t xml:space="preserve"> </w:t>
      </w:r>
      <w:r w:rsidR="00582562" w:rsidRPr="0055056D">
        <w:t xml:space="preserve">declarations and </w:t>
      </w:r>
      <w:r w:rsidR="00E04115" w:rsidRPr="0055056D">
        <w:t xml:space="preserve">to “raise awareness” about </w:t>
      </w:r>
      <w:r w:rsidR="00D7470D" w:rsidRPr="0055056D">
        <w:t>related incidents</w:t>
      </w:r>
      <w:r w:rsidR="00582562" w:rsidRPr="0055056D">
        <w:t xml:space="preserve"> at any national</w:t>
      </w:r>
      <w:r w:rsidR="00D7470D" w:rsidRPr="0055056D">
        <w:t xml:space="preserve"> </w:t>
      </w:r>
      <w:r w:rsidR="00582562" w:rsidRPr="0055056D">
        <w:t xml:space="preserve">authority </w:t>
      </w:r>
      <w:r w:rsidR="00824B64" w:rsidRPr="0055056D">
        <w:t>implementing EU funding</w:t>
      </w:r>
      <w:r w:rsidR="00582562" w:rsidRPr="0055056D">
        <w:t>.</w:t>
      </w:r>
      <w:r w:rsidR="00D80A2D" w:rsidRPr="0055056D">
        <w:t xml:space="preserve"> Besides this limited mandate</w:t>
      </w:r>
      <w:r w:rsidR="004F2A62" w:rsidRPr="0055056D">
        <w:t>,</w:t>
      </w:r>
      <w:r w:rsidR="00D80A2D" w:rsidRPr="0055056D">
        <w:t xml:space="preserve"> the Directorate</w:t>
      </w:r>
      <w:r w:rsidR="001140C6" w:rsidRPr="0055056D">
        <w:t xml:space="preserve"> also</w:t>
      </w:r>
      <w:r w:rsidR="00D80A2D" w:rsidRPr="0055056D">
        <w:t xml:space="preserve"> operate</w:t>
      </w:r>
      <w:r w:rsidR="001140C6" w:rsidRPr="0055056D">
        <w:t>s</w:t>
      </w:r>
      <w:r w:rsidR="00D80A2D" w:rsidRPr="0055056D">
        <w:t xml:space="preserve"> a </w:t>
      </w:r>
      <w:r w:rsidR="00D80A2D" w:rsidRPr="0055056D">
        <w:rPr>
          <w:b/>
          <w:bCs w:val="0"/>
        </w:rPr>
        <w:t>reporting platform</w:t>
      </w:r>
      <w:r w:rsidR="00D80A2D" w:rsidRPr="0055056D">
        <w:t xml:space="preserve"> </w:t>
      </w:r>
      <w:r w:rsidR="00F21859" w:rsidRPr="0055056D">
        <w:t>via which anyone can report incidents of conflict of interest even anonymously</w:t>
      </w:r>
      <w:r w:rsidR="00F21859" w:rsidRPr="0055056D">
        <w:rPr>
          <w:rStyle w:val="Rimandonotaapidipagina"/>
        </w:rPr>
        <w:footnoteReference w:id="148"/>
      </w:r>
      <w:r w:rsidR="00F21859" w:rsidRPr="0055056D">
        <w:t xml:space="preserve">. </w:t>
      </w:r>
      <w:r w:rsidR="00491AFB" w:rsidRPr="0055056D">
        <w:t xml:space="preserve">Nevertheless, the ineffectiveness of </w:t>
      </w:r>
      <w:r w:rsidR="00E20E88" w:rsidRPr="0055056D">
        <w:t>the integrity and conflict of interest procedures</w:t>
      </w:r>
      <w:r w:rsidR="00577CC9" w:rsidRPr="0055056D">
        <w:t xml:space="preserve"> has been </w:t>
      </w:r>
      <w:r w:rsidR="0012394F" w:rsidRPr="0055056D">
        <w:t>reported</w:t>
      </w:r>
      <w:r w:rsidR="00577CC9" w:rsidRPr="0055056D">
        <w:t xml:space="preserve"> </w:t>
      </w:r>
      <w:r w:rsidR="00D53B45" w:rsidRPr="0055056D">
        <w:t>in numerous instances</w:t>
      </w:r>
      <w:r w:rsidR="00E62427" w:rsidRPr="0055056D">
        <w:t>.</w:t>
      </w:r>
      <w:r w:rsidR="00915F6B" w:rsidRPr="0055056D">
        <w:t xml:space="preserve"> </w:t>
      </w:r>
      <w:r w:rsidR="005D6894" w:rsidRPr="0055056D">
        <w:t>Most recently</w:t>
      </w:r>
      <w:r w:rsidR="00D511B8" w:rsidRPr="0055056D">
        <w:t xml:space="preserve">, </w:t>
      </w:r>
      <w:r w:rsidR="008026B1" w:rsidRPr="0055056D">
        <w:t xml:space="preserve">a new phenomenon of conflict of interest </w:t>
      </w:r>
      <w:r w:rsidR="00E649F7" w:rsidRPr="0055056D">
        <w:t>have</w:t>
      </w:r>
      <w:r w:rsidR="00FF1094" w:rsidRPr="0055056D">
        <w:t xml:space="preserve"> </w:t>
      </w:r>
      <w:r w:rsidR="00855616" w:rsidRPr="0055056D">
        <w:t xml:space="preserve">pervasively </w:t>
      </w:r>
      <w:r w:rsidR="00FF1094" w:rsidRPr="0055056D">
        <w:t>emerged</w:t>
      </w:r>
      <w:r w:rsidR="008026B1" w:rsidRPr="0055056D">
        <w:t xml:space="preserve"> </w:t>
      </w:r>
      <w:r w:rsidR="006457E2" w:rsidRPr="0055056D">
        <w:t xml:space="preserve">in the form of </w:t>
      </w:r>
      <w:r w:rsidR="00FE6B6C" w:rsidRPr="0055056D">
        <w:t>channelling massive public funding to so-</w:t>
      </w:r>
      <w:r w:rsidR="00FE6B6C" w:rsidRPr="0055056D">
        <w:lastRenderedPageBreak/>
        <w:t xml:space="preserve">called </w:t>
      </w:r>
      <w:r w:rsidR="006457E2" w:rsidRPr="0055056D">
        <w:t>public interest asset management foundations</w:t>
      </w:r>
      <w:r w:rsidR="00FB0893" w:rsidRPr="0055056D">
        <w:t>, which are in fact</w:t>
      </w:r>
      <w:r w:rsidR="001E1C94" w:rsidRPr="0055056D">
        <w:t xml:space="preserve"> private law foundations</w:t>
      </w:r>
      <w:r w:rsidR="00FE6B6C" w:rsidRPr="0055056D">
        <w:t xml:space="preserve"> with </w:t>
      </w:r>
      <w:r w:rsidR="002C75BD" w:rsidRPr="0055056D">
        <w:t xml:space="preserve">boards </w:t>
      </w:r>
      <w:r w:rsidR="000260F0" w:rsidRPr="0055056D">
        <w:t xml:space="preserve">filled with </w:t>
      </w:r>
      <w:proofErr w:type="spellStart"/>
      <w:r w:rsidR="00C514C7" w:rsidRPr="0055056D">
        <w:t>Fidesz</w:t>
      </w:r>
      <w:proofErr w:type="spellEnd"/>
      <w:r w:rsidR="00C514C7" w:rsidRPr="0055056D">
        <w:t xml:space="preserve">-affiliates and </w:t>
      </w:r>
      <w:r w:rsidR="00087814" w:rsidRPr="0055056D">
        <w:t>leaders</w:t>
      </w:r>
      <w:r w:rsidR="000A15F0" w:rsidRPr="0055056D">
        <w:t xml:space="preserve">, such as </w:t>
      </w:r>
      <w:r w:rsidR="00572161" w:rsidRPr="0055056D">
        <w:t xml:space="preserve">János </w:t>
      </w:r>
      <w:proofErr w:type="spellStart"/>
      <w:r w:rsidR="00572161" w:rsidRPr="0055056D">
        <w:t>Lázár</w:t>
      </w:r>
      <w:proofErr w:type="spellEnd"/>
      <w:r w:rsidR="00572161" w:rsidRPr="0055056D">
        <w:t xml:space="preserve">, Minister of Construction and Traffic and </w:t>
      </w:r>
      <w:proofErr w:type="spellStart"/>
      <w:r w:rsidR="00572161" w:rsidRPr="0055056D">
        <w:t>Mihály</w:t>
      </w:r>
      <w:proofErr w:type="spellEnd"/>
      <w:r w:rsidR="00572161" w:rsidRPr="0055056D">
        <w:t xml:space="preserve"> </w:t>
      </w:r>
      <w:proofErr w:type="spellStart"/>
      <w:r w:rsidR="00572161" w:rsidRPr="0055056D">
        <w:t>Varga</w:t>
      </w:r>
      <w:proofErr w:type="spellEnd"/>
      <w:r w:rsidR="00572161" w:rsidRPr="0055056D">
        <w:t xml:space="preserve">, Minister of Finance who both hold </w:t>
      </w:r>
      <w:proofErr w:type="gramStart"/>
      <w:r w:rsidR="00DF1A80" w:rsidRPr="0055056D">
        <w:t>a number of</w:t>
      </w:r>
      <w:proofErr w:type="gramEnd"/>
      <w:r w:rsidR="00DF1A80" w:rsidRPr="0055056D">
        <w:t xml:space="preserve"> such </w:t>
      </w:r>
      <w:r w:rsidR="0084761C" w:rsidRPr="0055056D">
        <w:t>b</w:t>
      </w:r>
      <w:r w:rsidR="00DF1A80" w:rsidRPr="0055056D">
        <w:t>oard</w:t>
      </w:r>
      <w:r w:rsidR="00572161" w:rsidRPr="0055056D">
        <w:t xml:space="preserve"> memberships</w:t>
      </w:r>
      <w:r w:rsidR="00230422" w:rsidRPr="0055056D">
        <w:rPr>
          <w:rStyle w:val="Rimandonotaapidipagina"/>
        </w:rPr>
        <w:footnoteReference w:id="149"/>
      </w:r>
      <w:r w:rsidR="008A6FD0" w:rsidRPr="0055056D">
        <w:t>.</w:t>
      </w:r>
    </w:p>
    <w:p w14:paraId="64E8FA36" w14:textId="77777777" w:rsidR="0084761C" w:rsidRPr="0055056D" w:rsidRDefault="0084761C" w:rsidP="00D63BB5">
      <w:pPr>
        <w:pStyle w:val="MBT"/>
      </w:pPr>
    </w:p>
    <w:p w14:paraId="7D73B61D" w14:textId="39C6B883" w:rsidR="002E3A98" w:rsidRPr="0055056D" w:rsidRDefault="002E3A98" w:rsidP="00D63BB5">
      <w:pPr>
        <w:pStyle w:val="MBT"/>
      </w:pPr>
      <w:r w:rsidRPr="0055056D">
        <w:t>In the context of public procurement</w:t>
      </w:r>
      <w:r w:rsidR="006C1931" w:rsidRPr="0055056D">
        <w:t>,</w:t>
      </w:r>
      <w:r w:rsidR="00D63BB5" w:rsidRPr="0055056D">
        <w:t xml:space="preserve"> despite </w:t>
      </w:r>
      <w:r w:rsidR="001A5DD3" w:rsidRPr="0055056D">
        <w:t>various reforms initiat</w:t>
      </w:r>
      <w:r w:rsidR="00C144D8" w:rsidRPr="0055056D">
        <w:t>ed in response to the triggered conditionality mechanism,</w:t>
      </w:r>
      <w:r w:rsidR="006C1931" w:rsidRPr="0055056D">
        <w:t xml:space="preserve"> the need for </w:t>
      </w:r>
      <w:r w:rsidR="009747AB" w:rsidRPr="0055056D">
        <w:t xml:space="preserve">corruption prevention safeguards as well as for an in fact independent Public Procurement Council </w:t>
      </w:r>
      <w:r w:rsidR="00673288" w:rsidRPr="0055056D">
        <w:t xml:space="preserve">continue to lack. </w:t>
      </w:r>
      <w:r w:rsidR="0020261E" w:rsidRPr="0055056D">
        <w:t xml:space="preserve">This is </w:t>
      </w:r>
      <w:proofErr w:type="gramStart"/>
      <w:r w:rsidR="0020261E" w:rsidRPr="0055056D">
        <w:t>despite the fact that</w:t>
      </w:r>
      <w:proofErr w:type="gramEnd"/>
      <w:r w:rsidR="00D97A89" w:rsidRPr="0055056D">
        <w:t xml:space="preserve"> </w:t>
      </w:r>
      <w:r w:rsidR="0020261E" w:rsidRPr="0055056D">
        <w:t>these functions would be essential</w:t>
      </w:r>
      <w:r w:rsidR="006E1BFE" w:rsidRPr="0055056D">
        <w:t xml:space="preserve"> </w:t>
      </w:r>
      <w:r w:rsidR="00DC2F24" w:rsidRPr="0055056D">
        <w:t>to prevent, among others,</w:t>
      </w:r>
      <w:r w:rsidR="003B3A3D" w:rsidRPr="0055056D">
        <w:t xml:space="preserve"> the circumvention of public procurement principles when</w:t>
      </w:r>
      <w:r w:rsidR="00D63BB5" w:rsidRPr="0055056D">
        <w:t xml:space="preserve"> establishing concessions</w:t>
      </w:r>
      <w:r w:rsidR="003B3A3D" w:rsidRPr="0055056D">
        <w:t xml:space="preserve"> such as the one that was recently </w:t>
      </w:r>
      <w:r w:rsidR="00BF31BD" w:rsidRPr="0055056D">
        <w:t xml:space="preserve">assigned with </w:t>
      </w:r>
      <w:r w:rsidR="00D63BB5" w:rsidRPr="0055056D">
        <w:t>waste management and the operation of expressways for 35 years</w:t>
      </w:r>
      <w:r w:rsidR="00BF31BD" w:rsidRPr="0055056D">
        <w:rPr>
          <w:rStyle w:val="Rimandonotaapidipagina"/>
        </w:rPr>
        <w:footnoteReference w:id="150"/>
      </w:r>
      <w:r w:rsidR="003C5143" w:rsidRPr="0055056D">
        <w:t>.</w:t>
      </w:r>
      <w:r w:rsidR="007F2F53" w:rsidRPr="0055056D">
        <w:t xml:space="preserve"> </w:t>
      </w:r>
    </w:p>
    <w:p w14:paraId="61CFDAAC" w14:textId="17A14246" w:rsidR="007F2F53" w:rsidRPr="0055056D" w:rsidRDefault="00E201E6" w:rsidP="00827300">
      <w:pPr>
        <w:pStyle w:val="MBT"/>
      </w:pPr>
      <w:r w:rsidRPr="0055056D">
        <w:t xml:space="preserve">A new tool on the national level to incentivise </w:t>
      </w:r>
      <w:r w:rsidRPr="0055056D">
        <w:rPr>
          <w:b/>
          <w:bCs w:val="0"/>
        </w:rPr>
        <w:t>data disclosure</w:t>
      </w:r>
      <w:r w:rsidRPr="0055056D">
        <w:t xml:space="preserve"> and t</w:t>
      </w:r>
      <w:r w:rsidR="007F2F53" w:rsidRPr="0055056D">
        <w:t>o incre</w:t>
      </w:r>
      <w:r w:rsidR="00F2202F" w:rsidRPr="0055056D">
        <w:t>ase</w:t>
      </w:r>
      <w:r w:rsidR="006B5424" w:rsidRPr="0055056D">
        <w:t xml:space="preserve"> the</w:t>
      </w:r>
      <w:r w:rsidR="00F2202F" w:rsidRPr="0055056D">
        <w:t xml:space="preserve"> </w:t>
      </w:r>
      <w:r w:rsidR="000F035B" w:rsidRPr="0055056D">
        <w:t>transparency</w:t>
      </w:r>
      <w:r w:rsidR="006B5424" w:rsidRPr="0055056D">
        <w:t xml:space="preserve"> </w:t>
      </w:r>
      <w:r w:rsidR="00827300" w:rsidRPr="0055056D">
        <w:t>of public contract</w:t>
      </w:r>
      <w:r w:rsidR="006B5424" w:rsidRPr="0055056D">
        <w:t xml:space="preserve"> </w:t>
      </w:r>
      <w:r w:rsidR="00827300" w:rsidRPr="0055056D">
        <w:t>data</w:t>
      </w:r>
      <w:r w:rsidR="006B5424" w:rsidRPr="0055056D">
        <w:t xml:space="preserve">, </w:t>
      </w:r>
      <w:r w:rsidRPr="0055056D">
        <w:t xml:space="preserve">is that </w:t>
      </w:r>
      <w:r w:rsidR="005424B8" w:rsidRPr="0055056D">
        <w:t>bodies of the state budget</w:t>
      </w:r>
      <w:r w:rsidR="009B5669" w:rsidRPr="0055056D">
        <w:t xml:space="preserve"> – but not other agencies - </w:t>
      </w:r>
      <w:r w:rsidR="005424B8" w:rsidRPr="0055056D">
        <w:t xml:space="preserve">are now required to </w:t>
      </w:r>
      <w:r w:rsidR="00B56C3F" w:rsidRPr="0055056D">
        <w:t>discl</w:t>
      </w:r>
      <w:r w:rsidR="00A777DD" w:rsidRPr="0055056D">
        <w:t xml:space="preserve">ose, among others, the metadata of their contracts. </w:t>
      </w:r>
      <w:r w:rsidR="00F84045" w:rsidRPr="0055056D">
        <w:t xml:space="preserve">If the information is not uploaded in the new public data repository, </w:t>
      </w:r>
      <w:r w:rsidR="00827300" w:rsidRPr="0055056D">
        <w:t>the National</w:t>
      </w:r>
      <w:r w:rsidR="00926FE3" w:rsidRPr="0055056D">
        <w:t xml:space="preserve"> </w:t>
      </w:r>
      <w:r w:rsidR="00827300" w:rsidRPr="0055056D">
        <w:t>Authority for Data Protection and Freedom of Information</w:t>
      </w:r>
      <w:r w:rsidR="00E75889" w:rsidRPr="0055056D">
        <w:t xml:space="preserve"> can impose fines up to HUF 50 million (ca. EUR 127,000</w:t>
      </w:r>
      <w:r w:rsidR="00F84045" w:rsidRPr="0055056D">
        <w:t>)</w:t>
      </w:r>
      <w:r w:rsidR="00F8568D" w:rsidRPr="0055056D">
        <w:rPr>
          <w:rStyle w:val="Rimandonotaapidipagina"/>
        </w:rPr>
        <w:footnoteReference w:id="151"/>
      </w:r>
      <w:r w:rsidR="00F84045" w:rsidRPr="0055056D">
        <w:t>.</w:t>
      </w:r>
    </w:p>
    <w:p w14:paraId="6CAFE392" w14:textId="58641E58" w:rsidR="00967350" w:rsidRPr="0055056D" w:rsidRDefault="00E14D84" w:rsidP="00621B11">
      <w:pPr>
        <w:pStyle w:val="MBT"/>
      </w:pPr>
      <w:r w:rsidRPr="0055056D">
        <w:t>As part of the bundle</w:t>
      </w:r>
      <w:r w:rsidR="0094203D" w:rsidRPr="0055056D">
        <w:t xml:space="preserve"> of legislative amendments passed </w:t>
      </w:r>
      <w:proofErr w:type="gramStart"/>
      <w:r w:rsidR="0094203D" w:rsidRPr="0055056D">
        <w:t>in order for</w:t>
      </w:r>
      <w:proofErr w:type="gramEnd"/>
      <w:r w:rsidR="0094203D" w:rsidRPr="0055056D">
        <w:t xml:space="preserve"> the country to meet the </w:t>
      </w:r>
      <w:r w:rsidR="00DC76DC" w:rsidRPr="0055056D">
        <w:t>super-</w:t>
      </w:r>
      <w:r w:rsidR="0094203D" w:rsidRPr="0055056D">
        <w:t xml:space="preserve">milestones required by the conditionality mechanism, </w:t>
      </w:r>
      <w:r w:rsidR="00D85E72" w:rsidRPr="0055056D">
        <w:t>both private individuals and legal entities c</w:t>
      </w:r>
      <w:r w:rsidR="006E15FE" w:rsidRPr="0055056D">
        <w:t>an now</w:t>
      </w:r>
      <w:r w:rsidR="00D85E72" w:rsidRPr="0055056D">
        <w:t xml:space="preserve"> submit a </w:t>
      </w:r>
      <w:r w:rsidR="00D85E72" w:rsidRPr="0055056D">
        <w:rPr>
          <w:b/>
          <w:bCs w:val="0"/>
        </w:rPr>
        <w:t>complaint</w:t>
      </w:r>
      <w:r w:rsidR="006E15FE" w:rsidRPr="0055056D">
        <w:rPr>
          <w:b/>
          <w:bCs w:val="0"/>
        </w:rPr>
        <w:t xml:space="preserve"> </w:t>
      </w:r>
      <w:r w:rsidR="00D85E72" w:rsidRPr="0055056D">
        <w:rPr>
          <w:b/>
          <w:bCs w:val="0"/>
        </w:rPr>
        <w:t xml:space="preserve">to a judge </w:t>
      </w:r>
      <w:r w:rsidR="006E15FE" w:rsidRPr="0055056D">
        <w:rPr>
          <w:b/>
          <w:bCs w:val="0"/>
        </w:rPr>
        <w:t>to challenge</w:t>
      </w:r>
      <w:r w:rsidR="00D85E72" w:rsidRPr="0055056D">
        <w:rPr>
          <w:b/>
          <w:bCs w:val="0"/>
        </w:rPr>
        <w:t xml:space="preserve"> termination of </w:t>
      </w:r>
      <w:r w:rsidR="006E15FE" w:rsidRPr="0055056D">
        <w:rPr>
          <w:b/>
          <w:bCs w:val="0"/>
        </w:rPr>
        <w:t>a corruption</w:t>
      </w:r>
      <w:r w:rsidR="00D85E72" w:rsidRPr="0055056D">
        <w:rPr>
          <w:b/>
          <w:bCs w:val="0"/>
        </w:rPr>
        <w:t xml:space="preserve"> </w:t>
      </w:r>
      <w:r w:rsidR="005F5DC8" w:rsidRPr="0055056D">
        <w:rPr>
          <w:b/>
          <w:bCs w:val="0"/>
        </w:rPr>
        <w:t>investigation</w:t>
      </w:r>
      <w:r w:rsidR="005F5DC8" w:rsidRPr="0055056D">
        <w:t>, which can be ordered to re-commence upon judicial decision</w:t>
      </w:r>
      <w:r w:rsidR="00C76E4D" w:rsidRPr="0055056D">
        <w:rPr>
          <w:rStyle w:val="Rimandonotaapidipagina"/>
        </w:rPr>
        <w:footnoteReference w:id="152"/>
      </w:r>
      <w:r w:rsidR="005F5DC8" w:rsidRPr="0055056D">
        <w:t xml:space="preserve">. </w:t>
      </w:r>
      <w:r w:rsidR="00165021" w:rsidRPr="0055056D">
        <w:t xml:space="preserve">While </w:t>
      </w:r>
      <w:r w:rsidR="00E03DF4" w:rsidRPr="0055056D">
        <w:t>the private prosecution of high-level corruption cases</w:t>
      </w:r>
      <w:r w:rsidR="00256D9F" w:rsidRPr="0055056D">
        <w:t xml:space="preserve"> </w:t>
      </w:r>
      <w:r w:rsidR="00C76E4D" w:rsidRPr="0055056D">
        <w:t xml:space="preserve">is now available on paper </w:t>
      </w:r>
      <w:r w:rsidR="0077460C" w:rsidRPr="0055056D">
        <w:t>as a new remedy process</w:t>
      </w:r>
      <w:r w:rsidR="00C76E4D" w:rsidRPr="0055056D">
        <w:t xml:space="preserve"> </w:t>
      </w:r>
      <w:r w:rsidR="0077460C" w:rsidRPr="0055056D">
        <w:t xml:space="preserve">to counter </w:t>
      </w:r>
      <w:r w:rsidR="00C76E4D" w:rsidRPr="0055056D">
        <w:t xml:space="preserve">the inaction </w:t>
      </w:r>
      <w:r w:rsidR="00A704C6" w:rsidRPr="0055056D">
        <w:t>of the Prosecution Service</w:t>
      </w:r>
      <w:r w:rsidR="00CE5B8F" w:rsidRPr="0055056D">
        <w:t>, CSOs have warned that</w:t>
      </w:r>
      <w:r w:rsidR="00E02D2F" w:rsidRPr="0055056D">
        <w:t xml:space="preserve"> the lack of equality of arms within the procedure,</w:t>
      </w:r>
      <w:r w:rsidR="00A704C6" w:rsidRPr="0055056D">
        <w:t xml:space="preserve"> and the</w:t>
      </w:r>
      <w:r w:rsidR="00E02D2F" w:rsidRPr="0055056D">
        <w:t xml:space="preserve"> </w:t>
      </w:r>
      <w:r w:rsidR="0024088F" w:rsidRPr="0055056D">
        <w:t>hindered</w:t>
      </w:r>
      <w:r w:rsidR="00CE5B8F" w:rsidRPr="0055056D">
        <w:t xml:space="preserve"> accessibility of casefiles make such procedure unviable</w:t>
      </w:r>
      <w:r w:rsidR="00A704C6" w:rsidRPr="0055056D">
        <w:t xml:space="preserve"> in practice</w:t>
      </w:r>
      <w:r w:rsidR="00A704C6" w:rsidRPr="0055056D">
        <w:rPr>
          <w:rStyle w:val="Rimandonotaapidipagina"/>
        </w:rPr>
        <w:footnoteReference w:id="153"/>
      </w:r>
      <w:r w:rsidR="00A704C6" w:rsidRPr="0055056D">
        <w:t>.</w:t>
      </w:r>
      <w:r w:rsidR="006538A2" w:rsidRPr="0055056D">
        <w:t xml:space="preserve"> </w:t>
      </w:r>
      <w:r w:rsidR="000A3C6F" w:rsidRPr="0055056D">
        <w:t xml:space="preserve">This is in a context where the lack of appropriate prosecutorial action is a </w:t>
      </w:r>
      <w:r w:rsidR="000D48B7" w:rsidRPr="0055056D">
        <w:t xml:space="preserve">hindering factor to the prudent administration of both public and EU funds. One prominent example of the latter </w:t>
      </w:r>
      <w:r w:rsidR="00113BEB" w:rsidRPr="0055056D">
        <w:t>is</w:t>
      </w:r>
      <w:r w:rsidR="00852C91" w:rsidRPr="0055056D">
        <w:t xml:space="preserve"> the irregularities found in the administration of the “Bridge to the Word of Labour”</w:t>
      </w:r>
      <w:r w:rsidR="00BD389C" w:rsidRPr="0055056D">
        <w:t xml:space="preserve"> EU project, in relation to which Transparency International Hungary and K-MONITOR reported that “tax administration terminated the process in 2022 after having investigated into supposed subsidy fraud for seven years in lack of evidence of a criminal conduct. The prosecution service approved this decision, albeit both the European Commission (OLAF) and the Hungarian government uncovered signs of serious misconduct. The European Commission ordered the repayment of the entire project budget (HUF 1.5 billion)</w:t>
      </w:r>
      <w:r w:rsidR="009B0EDF" w:rsidRPr="0055056D">
        <w:t>.</w:t>
      </w:r>
      <w:r w:rsidR="00BD389C" w:rsidRPr="0055056D">
        <w:t>”</w:t>
      </w:r>
      <w:r w:rsidR="00F410FA" w:rsidRPr="0055056D">
        <w:rPr>
          <w:rStyle w:val="Rimandonotaapidipagina"/>
        </w:rPr>
        <w:t xml:space="preserve"> </w:t>
      </w:r>
      <w:r w:rsidR="00F410FA" w:rsidRPr="0055056D">
        <w:rPr>
          <w:rStyle w:val="Rimandonotaapidipagina"/>
        </w:rPr>
        <w:footnoteReference w:id="154"/>
      </w:r>
      <w:r w:rsidR="00F410FA" w:rsidRPr="0055056D">
        <w:t xml:space="preserve"> The beneficiary of the grant was the National Roma Self-Government, whose president during the grant period, </w:t>
      </w:r>
      <w:proofErr w:type="spellStart"/>
      <w:r w:rsidR="00F410FA" w:rsidRPr="0055056D">
        <w:t>Flórián</w:t>
      </w:r>
      <w:proofErr w:type="spellEnd"/>
      <w:r w:rsidR="00F410FA" w:rsidRPr="0055056D">
        <w:t xml:space="preserve"> Farkas</w:t>
      </w:r>
      <w:r w:rsidR="00367922" w:rsidRPr="0055056D">
        <w:t>,</w:t>
      </w:r>
      <w:r w:rsidR="00F410FA" w:rsidRPr="0055056D">
        <w:t xml:space="preserve"> used to serve as a </w:t>
      </w:r>
      <w:proofErr w:type="spellStart"/>
      <w:r w:rsidR="00F410FA" w:rsidRPr="0055056D">
        <w:t>Fidesz</w:t>
      </w:r>
      <w:proofErr w:type="spellEnd"/>
      <w:r w:rsidR="00F410FA" w:rsidRPr="0055056D">
        <w:t xml:space="preserve"> MP and who was not even interrogated in the process </w:t>
      </w:r>
      <w:proofErr w:type="gramStart"/>
      <w:r w:rsidR="00F410FA" w:rsidRPr="0055056D">
        <w:t>despite the fact that</w:t>
      </w:r>
      <w:proofErr w:type="gramEnd"/>
      <w:r w:rsidR="00F410FA" w:rsidRPr="0055056D">
        <w:t xml:space="preserve"> he was referred to as the instigator in related interrogations.</w:t>
      </w:r>
      <w:r w:rsidR="00852C91" w:rsidRPr="0055056D">
        <w:t xml:space="preserve"> </w:t>
      </w:r>
    </w:p>
    <w:p w14:paraId="1DC903A9" w14:textId="77777777" w:rsidR="000F0253" w:rsidRPr="0055056D" w:rsidRDefault="000F0253" w:rsidP="000F0253">
      <w:pPr>
        <w:pStyle w:val="MBT"/>
      </w:pPr>
    </w:p>
    <w:p w14:paraId="257C53B6" w14:textId="77777777" w:rsidR="000F0253" w:rsidRPr="0055056D" w:rsidRDefault="000F0253" w:rsidP="000F0253">
      <w:pPr>
        <w:pStyle w:val="MBT"/>
      </w:pPr>
    </w:p>
    <w:p w14:paraId="0CD69525" w14:textId="77777777" w:rsidR="000F0253" w:rsidRPr="0055056D" w:rsidRDefault="000F0253" w:rsidP="000F0253">
      <w:pPr>
        <w:pStyle w:val="MBT"/>
      </w:pPr>
    </w:p>
    <w:p w14:paraId="50C5B473" w14:textId="77777777" w:rsidR="000F0253" w:rsidRPr="0055056D" w:rsidRDefault="000F0253" w:rsidP="000F0253">
      <w:pPr>
        <w:pStyle w:val="MBT"/>
      </w:pPr>
    </w:p>
    <w:p w14:paraId="19235603" w14:textId="77777777" w:rsidR="000F0253" w:rsidRPr="0055056D" w:rsidRDefault="000F0253" w:rsidP="000F0253">
      <w:pPr>
        <w:pStyle w:val="MBT"/>
      </w:pPr>
    </w:p>
    <w:p w14:paraId="633C58A5" w14:textId="77777777" w:rsidR="000F0253" w:rsidRPr="0055056D" w:rsidRDefault="000F0253" w:rsidP="000F0253">
      <w:pPr>
        <w:pStyle w:val="MBT"/>
      </w:pPr>
    </w:p>
    <w:p w14:paraId="4C1CAC28" w14:textId="77777777" w:rsidR="0004443B" w:rsidRPr="0055056D" w:rsidRDefault="0004443B" w:rsidP="000F0253">
      <w:pPr>
        <w:pStyle w:val="MBT"/>
      </w:pPr>
    </w:p>
    <w:p w14:paraId="7ADBD79B" w14:textId="4260311F" w:rsidR="008961C1" w:rsidRPr="0055056D" w:rsidRDefault="008961C1" w:rsidP="008961C1">
      <w:pPr>
        <w:pStyle w:val="MH2"/>
        <w:numPr>
          <w:ilvl w:val="0"/>
          <w:numId w:val="0"/>
        </w:numPr>
        <w:rPr>
          <w:lang w:val="en-US"/>
        </w:rPr>
      </w:pPr>
      <w:r w:rsidRPr="0055056D">
        <w:rPr>
          <w:lang w:val="en-US"/>
        </w:rPr>
        <w:t xml:space="preserve">3.2. Media pluralism </w:t>
      </w:r>
    </w:p>
    <w:p w14:paraId="05FC2003" w14:textId="336B2B6C" w:rsidR="008961C1" w:rsidRPr="0055056D" w:rsidRDefault="00AA4393" w:rsidP="008961C1">
      <w:pPr>
        <w:pStyle w:val="MBT"/>
        <w:rPr>
          <w:lang w:val="en-US"/>
        </w:rPr>
      </w:pPr>
      <w:r w:rsidRPr="0055056D">
        <w:rPr>
          <w:lang w:val="en-US"/>
        </w:rPr>
        <w:t xml:space="preserve">While freedom of expression is guaranteed by </w:t>
      </w:r>
      <w:r w:rsidR="009B238F" w:rsidRPr="0055056D">
        <w:rPr>
          <w:lang w:val="en-US"/>
        </w:rPr>
        <w:t xml:space="preserve">Article </w:t>
      </w:r>
      <w:r w:rsidR="001A185C" w:rsidRPr="0055056D">
        <w:rPr>
          <w:lang w:val="en-US"/>
        </w:rPr>
        <w:t>IX of the</w:t>
      </w:r>
      <w:r w:rsidRPr="0055056D">
        <w:rPr>
          <w:lang w:val="en-US"/>
        </w:rPr>
        <w:t xml:space="preserve"> Fundamental Law, the 2010 Media Act</w:t>
      </w:r>
      <w:r w:rsidR="000F0253" w:rsidRPr="0055056D">
        <w:rPr>
          <w:rStyle w:val="Rimandonotaapidipagina"/>
          <w:lang w:val="en-US"/>
        </w:rPr>
        <w:footnoteReference w:id="155"/>
      </w:r>
      <w:r w:rsidRPr="0055056D">
        <w:rPr>
          <w:lang w:val="en-US"/>
        </w:rPr>
        <w:t xml:space="preserve"> has </w:t>
      </w:r>
      <w:r w:rsidR="006C589D" w:rsidRPr="0055056D">
        <w:rPr>
          <w:lang w:val="en-US"/>
        </w:rPr>
        <w:t>been criticized</w:t>
      </w:r>
      <w:r w:rsidR="00BA0193" w:rsidRPr="0055056D">
        <w:rPr>
          <w:lang w:val="en-US"/>
        </w:rPr>
        <w:t xml:space="preserve"> from the start</w:t>
      </w:r>
      <w:r w:rsidR="00B46BEB" w:rsidRPr="0055056D">
        <w:rPr>
          <w:lang w:val="en-US"/>
        </w:rPr>
        <w:t>, among others by the OSCE Representative on Freedom of the Media</w:t>
      </w:r>
      <w:r w:rsidR="00B46BEB" w:rsidRPr="0055056D">
        <w:rPr>
          <w:rStyle w:val="Rimandonotaapidipagina"/>
          <w:lang w:val="en-US"/>
        </w:rPr>
        <w:footnoteReference w:id="156"/>
      </w:r>
      <w:r w:rsidR="006C589D" w:rsidRPr="0055056D">
        <w:rPr>
          <w:lang w:val="en-US"/>
        </w:rPr>
        <w:t xml:space="preserve"> </w:t>
      </w:r>
      <w:r w:rsidRPr="0055056D">
        <w:rPr>
          <w:lang w:val="en-US"/>
        </w:rPr>
        <w:t xml:space="preserve">for </w:t>
      </w:r>
      <w:r w:rsidR="00BA0193" w:rsidRPr="0055056D">
        <w:rPr>
          <w:lang w:val="en-US"/>
        </w:rPr>
        <w:t>being a means of eliminating</w:t>
      </w:r>
      <w:r w:rsidR="006C589D" w:rsidRPr="0055056D">
        <w:rPr>
          <w:lang w:val="en-US"/>
        </w:rPr>
        <w:t xml:space="preserve"> </w:t>
      </w:r>
      <w:r w:rsidR="00A343F5" w:rsidRPr="0055056D">
        <w:rPr>
          <w:lang w:val="en-US"/>
        </w:rPr>
        <w:t>media pluralism</w:t>
      </w:r>
      <w:r w:rsidR="00B46BEB" w:rsidRPr="0055056D">
        <w:rPr>
          <w:lang w:val="en-US"/>
        </w:rPr>
        <w:t>. Throughout the past decade,</w:t>
      </w:r>
      <w:r w:rsidRPr="0055056D">
        <w:rPr>
          <w:lang w:val="en-US"/>
        </w:rPr>
        <w:t xml:space="preserve"> </w:t>
      </w:r>
      <w:r w:rsidR="00B46BEB" w:rsidRPr="0055056D">
        <w:rPr>
          <w:lang w:val="en-US"/>
        </w:rPr>
        <w:t>the p</w:t>
      </w:r>
      <w:r w:rsidR="00B02F2F" w:rsidRPr="0055056D">
        <w:rPr>
          <w:lang w:val="en-US"/>
        </w:rPr>
        <w:t xml:space="preserve">ublic service media </w:t>
      </w:r>
      <w:r w:rsidR="00B46BEB" w:rsidRPr="0055056D">
        <w:rPr>
          <w:lang w:val="en-US"/>
        </w:rPr>
        <w:t xml:space="preserve">has </w:t>
      </w:r>
      <w:r w:rsidR="00B02F2F" w:rsidRPr="0055056D">
        <w:rPr>
          <w:lang w:val="en-US"/>
        </w:rPr>
        <w:t>continue</w:t>
      </w:r>
      <w:r w:rsidR="00D23420" w:rsidRPr="0055056D">
        <w:rPr>
          <w:lang w:val="en-US"/>
        </w:rPr>
        <w:t xml:space="preserve">d </w:t>
      </w:r>
      <w:r w:rsidR="00B02F2F" w:rsidRPr="0055056D">
        <w:rPr>
          <w:lang w:val="en-US"/>
        </w:rPr>
        <w:t xml:space="preserve">to </w:t>
      </w:r>
      <w:r w:rsidR="00B46BEB" w:rsidRPr="0055056D">
        <w:rPr>
          <w:lang w:val="en-US"/>
        </w:rPr>
        <w:t xml:space="preserve">become </w:t>
      </w:r>
      <w:r w:rsidR="00AF7203" w:rsidRPr="0055056D">
        <w:rPr>
          <w:lang w:val="en-US"/>
        </w:rPr>
        <w:t>increasingly</w:t>
      </w:r>
      <w:r w:rsidR="00B46BEB" w:rsidRPr="0055056D">
        <w:rPr>
          <w:lang w:val="en-US"/>
        </w:rPr>
        <w:t xml:space="preserve"> concentrated and </w:t>
      </w:r>
      <w:r w:rsidR="00AF7203" w:rsidRPr="0055056D">
        <w:rPr>
          <w:lang w:val="en-US"/>
        </w:rPr>
        <w:t xml:space="preserve">has </w:t>
      </w:r>
      <w:r w:rsidR="00496103" w:rsidRPr="0055056D">
        <w:rPr>
          <w:lang w:val="en-US"/>
        </w:rPr>
        <w:t>openly serve</w:t>
      </w:r>
      <w:r w:rsidR="00AF7203" w:rsidRPr="0055056D">
        <w:rPr>
          <w:lang w:val="en-US"/>
        </w:rPr>
        <w:t>d</w:t>
      </w:r>
      <w:r w:rsidR="00496103" w:rsidRPr="0055056D">
        <w:rPr>
          <w:lang w:val="en-US"/>
        </w:rPr>
        <w:t xml:space="preserve"> the interests of the Orbán governm</w:t>
      </w:r>
      <w:r w:rsidR="00E10364" w:rsidRPr="0055056D">
        <w:rPr>
          <w:lang w:val="en-US"/>
        </w:rPr>
        <w:t>ent</w:t>
      </w:r>
      <w:r w:rsidR="00D546A1" w:rsidRPr="0055056D">
        <w:rPr>
          <w:rStyle w:val="Rimandonotaapidipagina"/>
          <w:lang w:val="en-US"/>
        </w:rPr>
        <w:footnoteReference w:id="157"/>
      </w:r>
      <w:r w:rsidR="00D546A1" w:rsidRPr="0055056D">
        <w:rPr>
          <w:lang w:val="en-US"/>
        </w:rPr>
        <w:t xml:space="preserve">. </w:t>
      </w:r>
      <w:r w:rsidR="00603D01" w:rsidRPr="0055056D">
        <w:rPr>
          <w:lang w:val="en-US"/>
        </w:rPr>
        <w:t>This is backed by an advertising market that</w:t>
      </w:r>
      <w:r w:rsidR="00603D01" w:rsidRPr="0055056D">
        <w:t xml:space="preserve"> favours pro-government companies </w:t>
      </w:r>
      <w:r w:rsidR="00D97BCC" w:rsidRPr="0055056D">
        <w:t>at the detriment of</w:t>
      </w:r>
      <w:r w:rsidR="00603D01" w:rsidRPr="0055056D">
        <w:t xml:space="preserve"> independent media</w:t>
      </w:r>
      <w:r w:rsidR="0092407F" w:rsidRPr="0055056D">
        <w:t xml:space="preserve">. </w:t>
      </w:r>
      <w:r w:rsidR="00D97BCC" w:rsidRPr="0055056D">
        <w:t xml:space="preserve">National watchdogs continue to report </w:t>
      </w:r>
      <w:r w:rsidR="00B301A7" w:rsidRPr="0055056D">
        <w:t>on how</w:t>
      </w:r>
      <w:r w:rsidR="00D97BCC" w:rsidRPr="0055056D">
        <w:t xml:space="preserve"> </w:t>
      </w:r>
      <w:r w:rsidR="0092407F" w:rsidRPr="0055056D">
        <w:t>“</w:t>
      </w:r>
      <w:r w:rsidR="00D97BCC" w:rsidRPr="0055056D">
        <w:t>t</w:t>
      </w:r>
      <w:r w:rsidR="00603D01" w:rsidRPr="0055056D">
        <w:t>his practice renders fair competition impossible and distorts the market</w:t>
      </w:r>
      <w:r w:rsidR="0092407F" w:rsidRPr="0055056D">
        <w:t>”</w:t>
      </w:r>
      <w:r w:rsidR="0092407F" w:rsidRPr="0055056D">
        <w:rPr>
          <w:rStyle w:val="Rimandonotaapidipagina"/>
        </w:rPr>
        <w:t xml:space="preserve"> </w:t>
      </w:r>
      <w:r w:rsidR="0092407F" w:rsidRPr="0055056D">
        <w:rPr>
          <w:rStyle w:val="Rimandonotaapidipagina"/>
        </w:rPr>
        <w:footnoteReference w:id="158"/>
      </w:r>
      <w:r w:rsidR="0092407F" w:rsidRPr="0055056D">
        <w:t>.</w:t>
      </w:r>
      <w:r w:rsidR="00D97BCC" w:rsidRPr="0055056D">
        <w:t xml:space="preserve"> </w:t>
      </w:r>
      <w:r w:rsidR="00D23420" w:rsidRPr="0055056D">
        <w:rPr>
          <w:lang w:val="en-US"/>
        </w:rPr>
        <w:t>In th</w:t>
      </w:r>
      <w:r w:rsidR="00A75BB4" w:rsidRPr="0055056D">
        <w:rPr>
          <w:lang w:val="en-US"/>
        </w:rPr>
        <w:t>is</w:t>
      </w:r>
      <w:r w:rsidR="00D23420" w:rsidRPr="0055056D">
        <w:rPr>
          <w:lang w:val="en-US"/>
        </w:rPr>
        <w:t xml:space="preserve"> context, </w:t>
      </w:r>
      <w:r w:rsidR="008946D8" w:rsidRPr="0055056D">
        <w:rPr>
          <w:lang w:val="en-US"/>
        </w:rPr>
        <w:t xml:space="preserve">the </w:t>
      </w:r>
      <w:r w:rsidR="00991B47" w:rsidRPr="0055056D">
        <w:rPr>
          <w:lang w:val="en-US"/>
        </w:rPr>
        <w:t xml:space="preserve">2022 </w:t>
      </w:r>
      <w:r w:rsidR="008946D8" w:rsidRPr="0055056D">
        <w:rPr>
          <w:lang w:val="en-US"/>
        </w:rPr>
        <w:t xml:space="preserve">Election </w:t>
      </w:r>
      <w:r w:rsidR="00991B47" w:rsidRPr="0055056D">
        <w:rPr>
          <w:lang w:val="en-US"/>
        </w:rPr>
        <w:t>Observation Mission of ODIHR</w:t>
      </w:r>
      <w:r w:rsidR="00D23420" w:rsidRPr="0055056D">
        <w:rPr>
          <w:lang w:val="en-US"/>
        </w:rPr>
        <w:t xml:space="preserve"> concluded that “the pervasive bias in the news and current-affairs programs of the majority of broadcasters monitored </w:t>
      </w:r>
      <w:r w:rsidR="00C73D23" w:rsidRPr="0055056D">
        <w:rPr>
          <w:lang w:val="en-US"/>
        </w:rPr>
        <w:t>...</w:t>
      </w:r>
      <w:r w:rsidR="00D23420" w:rsidRPr="0055056D">
        <w:rPr>
          <w:lang w:val="en-US"/>
        </w:rPr>
        <w:t xml:space="preserve"> combined with extensive government advertising campaigns provided the ruling</w:t>
      </w:r>
      <w:r w:rsidR="00A75BB4" w:rsidRPr="0055056D">
        <w:rPr>
          <w:lang w:val="en-US"/>
        </w:rPr>
        <w:t xml:space="preserve"> party with an undue advantage</w:t>
      </w:r>
      <w:r w:rsidR="00D23420" w:rsidRPr="0055056D">
        <w:rPr>
          <w:lang w:val="en-US"/>
        </w:rPr>
        <w:t>”</w:t>
      </w:r>
      <w:r w:rsidR="00D23420" w:rsidRPr="0055056D">
        <w:rPr>
          <w:rStyle w:val="Rimandonotaapidipagina"/>
          <w:lang w:val="en-US"/>
        </w:rPr>
        <w:footnoteReference w:id="159"/>
      </w:r>
      <w:r w:rsidR="00D23420" w:rsidRPr="0055056D">
        <w:rPr>
          <w:lang w:val="en-US"/>
        </w:rPr>
        <w:t>.</w:t>
      </w:r>
    </w:p>
    <w:p w14:paraId="39F25AA9" w14:textId="6B867511" w:rsidR="00494490" w:rsidRPr="0055056D" w:rsidRDefault="003C58A1" w:rsidP="00494490">
      <w:pPr>
        <w:pStyle w:val="MBT"/>
      </w:pPr>
      <w:r w:rsidRPr="0055056D">
        <w:t xml:space="preserve">The Media Council </w:t>
      </w:r>
      <w:r w:rsidR="004C5B08" w:rsidRPr="0055056D">
        <w:t xml:space="preserve">plays a central role in maintaining this </w:t>
      </w:r>
      <w:r w:rsidR="004C5B08" w:rsidRPr="0055056D">
        <w:rPr>
          <w:i/>
          <w:iCs/>
        </w:rPr>
        <w:t>status quo</w:t>
      </w:r>
      <w:r w:rsidR="004C5B08" w:rsidRPr="0055056D">
        <w:t xml:space="preserve"> and to </w:t>
      </w:r>
      <w:r w:rsidR="0034325D" w:rsidRPr="0055056D">
        <w:t>back the political agenda of the ruling part.</w:t>
      </w:r>
      <w:r w:rsidR="004C5B08" w:rsidRPr="0055056D">
        <w:t xml:space="preserve"> </w:t>
      </w:r>
      <w:r w:rsidR="005E4E4A" w:rsidRPr="0055056D">
        <w:t>Most recently</w:t>
      </w:r>
      <w:r w:rsidR="004C5B08" w:rsidRPr="0055056D">
        <w:t xml:space="preserve">, it </w:t>
      </w:r>
      <w:r w:rsidR="005E4E4A" w:rsidRPr="0055056D">
        <w:t xml:space="preserve">even </w:t>
      </w:r>
      <w:r w:rsidR="00580EDB" w:rsidRPr="0055056D">
        <w:t>refused to investigate complaints about Russian</w:t>
      </w:r>
      <w:r w:rsidR="004E65E7" w:rsidRPr="0055056D">
        <w:t xml:space="preserve"> propaganda infiltrating</w:t>
      </w:r>
      <w:r w:rsidR="00580EDB" w:rsidRPr="0055056D">
        <w:t xml:space="preserve"> </w:t>
      </w:r>
      <w:r w:rsidR="004E65E7" w:rsidRPr="0055056D">
        <w:t>the</w:t>
      </w:r>
      <w:r w:rsidR="00580EDB" w:rsidRPr="0055056D">
        <w:t xml:space="preserve"> Hungarian public media </w:t>
      </w:r>
      <w:r w:rsidR="00936106" w:rsidRPr="0055056D">
        <w:t>and</w:t>
      </w:r>
      <w:r w:rsidR="00580EDB" w:rsidRPr="0055056D">
        <w:t xml:space="preserve"> rather publicly criticized the complainants</w:t>
      </w:r>
      <w:r w:rsidR="004E65E7" w:rsidRPr="0055056D">
        <w:rPr>
          <w:rStyle w:val="Rimandonotaapidipagina"/>
        </w:rPr>
        <w:footnoteReference w:id="160"/>
      </w:r>
      <w:r w:rsidR="004E65E7" w:rsidRPr="0055056D">
        <w:t>.</w:t>
      </w:r>
      <w:r w:rsidR="00494490" w:rsidRPr="0055056D">
        <w:t xml:space="preserve"> </w:t>
      </w:r>
    </w:p>
    <w:p w14:paraId="6B74FE23" w14:textId="29C0F9D0" w:rsidR="00892F19" w:rsidRPr="0055056D" w:rsidRDefault="00C84AF5" w:rsidP="007D6BFD">
      <w:pPr>
        <w:pStyle w:val="MBT"/>
      </w:pPr>
      <w:r w:rsidRPr="0055056D">
        <w:t>In this context, r</w:t>
      </w:r>
      <w:r w:rsidR="00936106" w:rsidRPr="0055056D">
        <w:t xml:space="preserve">ule of law safeguards, such as </w:t>
      </w:r>
      <w:r w:rsidR="00936106" w:rsidRPr="0055056D">
        <w:rPr>
          <w:b/>
          <w:bCs w:val="0"/>
        </w:rPr>
        <w:t>f</w:t>
      </w:r>
      <w:r w:rsidR="00494490" w:rsidRPr="0055056D">
        <w:rPr>
          <w:b/>
          <w:bCs w:val="0"/>
        </w:rPr>
        <w:t>reedom of information requests</w:t>
      </w:r>
      <w:r w:rsidR="00936106" w:rsidRPr="0055056D">
        <w:t>,</w:t>
      </w:r>
      <w:r w:rsidR="00494490" w:rsidRPr="0055056D">
        <w:t xml:space="preserve"> while available under national law, are obstructe</w:t>
      </w:r>
      <w:r w:rsidRPr="0055056D">
        <w:t>d</w:t>
      </w:r>
      <w:r w:rsidR="00494490" w:rsidRPr="0055056D">
        <w:t xml:space="preserve"> by entrenched institutional practices</w:t>
      </w:r>
      <w:r w:rsidR="004E4BAA" w:rsidRPr="0055056D">
        <w:t>. One such example is how</w:t>
      </w:r>
      <w:r w:rsidR="00494490" w:rsidRPr="0055056D">
        <w:t xml:space="preserve"> national authorities tend to deny they have the requested data </w:t>
      </w:r>
      <w:r w:rsidR="00726D67" w:rsidRPr="0055056D">
        <w:t>unless</w:t>
      </w:r>
      <w:r w:rsidR="00494490" w:rsidRPr="0055056D">
        <w:t xml:space="preserve"> court proceedings sta</w:t>
      </w:r>
      <w:r w:rsidR="00726D67" w:rsidRPr="0055056D">
        <w:t>rt</w:t>
      </w:r>
      <w:r w:rsidR="002E22F4" w:rsidRPr="0055056D">
        <w:t xml:space="preserve"> and tend to only make the information accessible after significant time and sustain efforts required from the requester. </w:t>
      </w:r>
      <w:r w:rsidR="002206FB" w:rsidRPr="0055056D">
        <w:t>When the data is provided</w:t>
      </w:r>
      <w:r w:rsidR="0046775A" w:rsidRPr="0055056D">
        <w:t>,</w:t>
      </w:r>
      <w:r w:rsidR="002206FB" w:rsidRPr="0055056D">
        <w:t xml:space="preserve"> the case is automatically closed </w:t>
      </w:r>
      <w:r w:rsidR="002E22F4" w:rsidRPr="0055056D">
        <w:t>d</w:t>
      </w:r>
      <w:r w:rsidR="00042E9C" w:rsidRPr="0055056D">
        <w:rPr>
          <w:rStyle w:val="Rimandonotaapidipagina"/>
        </w:rPr>
        <w:footnoteReference w:id="161"/>
      </w:r>
      <w:r w:rsidR="00042E9C" w:rsidRPr="0055056D">
        <w:t xml:space="preserve">. </w:t>
      </w:r>
      <w:r w:rsidR="00892F19" w:rsidRPr="0055056D">
        <w:t xml:space="preserve">In addition, </w:t>
      </w:r>
      <w:r w:rsidR="00F541EA" w:rsidRPr="0055056D">
        <w:t xml:space="preserve">FOI requests can </w:t>
      </w:r>
      <w:r w:rsidR="00931AFE" w:rsidRPr="0055056D">
        <w:t>only be used with</w:t>
      </w:r>
      <w:r w:rsidR="00F541EA" w:rsidRPr="0055056D">
        <w:t xml:space="preserve"> restrictions </w:t>
      </w:r>
      <w:r w:rsidR="00931AFE" w:rsidRPr="0055056D">
        <w:t>when it comes to the</w:t>
      </w:r>
      <w:r w:rsidR="00F541EA" w:rsidRPr="0055056D">
        <w:t xml:space="preserve"> access </w:t>
      </w:r>
      <w:r w:rsidR="00931AFE" w:rsidRPr="0055056D">
        <w:t xml:space="preserve">of </w:t>
      </w:r>
      <w:r w:rsidR="00F541EA" w:rsidRPr="0055056D">
        <w:t xml:space="preserve">data </w:t>
      </w:r>
      <w:r w:rsidR="00931AFE" w:rsidRPr="0055056D">
        <w:t>concerning</w:t>
      </w:r>
      <w:r w:rsidR="00892F19" w:rsidRPr="0055056D">
        <w:t xml:space="preserve"> public funds</w:t>
      </w:r>
      <w:r w:rsidR="00367958" w:rsidRPr="0055056D">
        <w:t xml:space="preserve">, due to a </w:t>
      </w:r>
      <w:r w:rsidR="00892F19" w:rsidRPr="0055056D">
        <w:t>constitutional</w:t>
      </w:r>
      <w:r w:rsidR="00367958" w:rsidRPr="0055056D">
        <w:t xml:space="preserve"> </w:t>
      </w:r>
      <w:r w:rsidR="00892F19" w:rsidRPr="0055056D">
        <w:t xml:space="preserve">amendment that narrowed down the definition of </w:t>
      </w:r>
      <w:r w:rsidR="002E22F4" w:rsidRPr="0055056D">
        <w:t>the latter.</w:t>
      </w:r>
      <w:r w:rsidR="00CE3D99" w:rsidRPr="0055056D">
        <w:t xml:space="preserve"> </w:t>
      </w:r>
      <w:r w:rsidR="00931AFE" w:rsidRPr="0055056D">
        <w:t>The narrow interpretation of the term is</w:t>
      </w:r>
      <w:r w:rsidR="00CE3D99" w:rsidRPr="0055056D">
        <w:t xml:space="preserve"> confirmed by the Curia’s standing case law</w:t>
      </w:r>
      <w:r w:rsidR="00931AFE" w:rsidRPr="0055056D">
        <w:t xml:space="preserve">, which </w:t>
      </w:r>
      <w:r w:rsidR="007D6BFD" w:rsidRPr="0055056D">
        <w:t xml:space="preserve">found </w:t>
      </w:r>
      <w:r w:rsidR="00552099" w:rsidRPr="0055056D">
        <w:t xml:space="preserve">that </w:t>
      </w:r>
      <w:r w:rsidR="00932A77" w:rsidRPr="0055056D">
        <w:t xml:space="preserve">information about </w:t>
      </w:r>
      <w:r w:rsidR="007D6BFD" w:rsidRPr="0055056D">
        <w:t xml:space="preserve">subcontractors’ participation in national constructions </w:t>
      </w:r>
      <w:r w:rsidR="00932A77" w:rsidRPr="0055056D">
        <w:t>carried out with the support of</w:t>
      </w:r>
      <w:r w:rsidR="007D6BFD" w:rsidRPr="0055056D">
        <w:t xml:space="preserve"> EU funds </w:t>
      </w:r>
      <w:r w:rsidR="00932A77" w:rsidRPr="0055056D">
        <w:t>does not need to be</w:t>
      </w:r>
      <w:r w:rsidR="007D6BFD" w:rsidRPr="0055056D">
        <w:t xml:space="preserve"> disclosed in response to FOI requests</w:t>
      </w:r>
      <w:r w:rsidR="007D6BFD" w:rsidRPr="0055056D">
        <w:rPr>
          <w:rStyle w:val="Rimandonotaapidipagina"/>
        </w:rPr>
        <w:t xml:space="preserve"> </w:t>
      </w:r>
      <w:r w:rsidR="00367958" w:rsidRPr="0055056D">
        <w:rPr>
          <w:rStyle w:val="Rimandonotaapidipagina"/>
        </w:rPr>
        <w:footnoteReference w:id="162"/>
      </w:r>
      <w:r w:rsidR="00892F19" w:rsidRPr="0055056D">
        <w:t>.</w:t>
      </w:r>
    </w:p>
    <w:p w14:paraId="6456B707" w14:textId="078471E0" w:rsidR="00E44554" w:rsidRPr="0055056D" w:rsidRDefault="00B4100B" w:rsidP="00E44554">
      <w:pPr>
        <w:pStyle w:val="MBT"/>
      </w:pPr>
      <w:r w:rsidRPr="0055056D">
        <w:t xml:space="preserve">The use of </w:t>
      </w:r>
      <w:r w:rsidRPr="0055056D">
        <w:rPr>
          <w:b/>
          <w:bCs w:val="0"/>
        </w:rPr>
        <w:t>judicial proceedings</w:t>
      </w:r>
      <w:r w:rsidRPr="0055056D">
        <w:t xml:space="preserve"> to </w:t>
      </w:r>
      <w:r w:rsidR="009D77CF" w:rsidRPr="0055056D">
        <w:t xml:space="preserve">protect the journalistic freedom to </w:t>
      </w:r>
      <w:r w:rsidR="00653C48" w:rsidRPr="0055056D">
        <w:t xml:space="preserve">research and </w:t>
      </w:r>
      <w:r w:rsidR="00FE743F" w:rsidRPr="0055056D">
        <w:t>report</w:t>
      </w:r>
      <w:r w:rsidR="00653C48" w:rsidRPr="0055056D">
        <w:t xml:space="preserve"> </w:t>
      </w:r>
      <w:r w:rsidR="009D77CF" w:rsidRPr="0055056D">
        <w:t xml:space="preserve">publicly available information </w:t>
      </w:r>
      <w:r w:rsidR="00352FE8" w:rsidRPr="0055056D">
        <w:t xml:space="preserve">on public figures has systematically been repressed in Hungary. </w:t>
      </w:r>
      <w:r w:rsidR="00E44554" w:rsidRPr="0055056D">
        <w:t>In this context, national watchdogs report that 2022 has</w:t>
      </w:r>
      <w:r w:rsidR="00FE743F" w:rsidRPr="0055056D">
        <w:t xml:space="preserve"> even</w:t>
      </w:r>
      <w:r w:rsidR="00E44554" w:rsidRPr="0055056D">
        <w:t xml:space="preserve"> seen the emergence of strategic litigation against public participation</w:t>
      </w:r>
      <w:r w:rsidR="00E53064" w:rsidRPr="0055056D">
        <w:t xml:space="preserve"> (SLAPP) </w:t>
      </w:r>
      <w:r w:rsidR="00E44554" w:rsidRPr="0055056D">
        <w:t>lawsuits</w:t>
      </w:r>
      <w:r w:rsidR="00FE743F" w:rsidRPr="0055056D">
        <w:t xml:space="preserve"> in Hungary</w:t>
      </w:r>
      <w:r w:rsidR="00311749" w:rsidRPr="0055056D">
        <w:rPr>
          <w:rStyle w:val="Rimandonotaapidipagina"/>
        </w:rPr>
        <w:footnoteReference w:id="163"/>
      </w:r>
      <w:r w:rsidR="00FE743F" w:rsidRPr="0055056D">
        <w:t>.</w:t>
      </w:r>
      <w:r w:rsidR="001912D9" w:rsidRPr="0055056D">
        <w:t xml:space="preserve"> The legal ground for these is usually the fact that Hungary </w:t>
      </w:r>
      <w:r w:rsidR="00A43342" w:rsidRPr="0055056D">
        <w:t xml:space="preserve">failed to implement the </w:t>
      </w:r>
      <w:r w:rsidR="00A43342" w:rsidRPr="0055056D">
        <w:rPr>
          <w:b/>
          <w:bCs w:val="0"/>
        </w:rPr>
        <w:t>GDPR</w:t>
      </w:r>
      <w:r w:rsidR="00CF180E" w:rsidRPr="0055056D">
        <w:rPr>
          <w:b/>
          <w:bCs w:val="0"/>
        </w:rPr>
        <w:t xml:space="preserve"> </w:t>
      </w:r>
      <w:proofErr w:type="gramStart"/>
      <w:r w:rsidR="00CF180E" w:rsidRPr="0055056D">
        <w:rPr>
          <w:b/>
          <w:bCs w:val="0"/>
        </w:rPr>
        <w:t>with regard to</w:t>
      </w:r>
      <w:proofErr w:type="gramEnd"/>
      <w:r w:rsidR="00CF180E" w:rsidRPr="0055056D">
        <w:rPr>
          <w:b/>
          <w:bCs w:val="0"/>
        </w:rPr>
        <w:t xml:space="preserve"> journalism exemptions </w:t>
      </w:r>
      <w:r w:rsidR="002F17F0" w:rsidRPr="0055056D">
        <w:rPr>
          <w:b/>
          <w:bCs w:val="0"/>
        </w:rPr>
        <w:t>of</w:t>
      </w:r>
      <w:r w:rsidR="00CF180E" w:rsidRPr="0055056D">
        <w:rPr>
          <w:b/>
          <w:bCs w:val="0"/>
        </w:rPr>
        <w:t xml:space="preserve"> Article 85</w:t>
      </w:r>
      <w:r w:rsidR="002F17F0" w:rsidRPr="0055056D">
        <w:t xml:space="preserve">, which expressly requires Member States to reconcile the right to the protection of personal data with the </w:t>
      </w:r>
      <w:r w:rsidR="002F17F0" w:rsidRPr="0055056D">
        <w:lastRenderedPageBreak/>
        <w:t xml:space="preserve">right to freedom of expression and information, </w:t>
      </w:r>
      <w:r w:rsidR="002F17F0" w:rsidRPr="0055056D">
        <w:rPr>
          <w:i/>
          <w:iCs/>
        </w:rPr>
        <w:t>including processing for journalistic purposes</w:t>
      </w:r>
      <w:r w:rsidR="002F17F0" w:rsidRPr="0055056D">
        <w:t xml:space="preserve">, </w:t>
      </w:r>
      <w:r w:rsidR="002F02D9" w:rsidRPr="0055056D">
        <w:t>in their national law</w:t>
      </w:r>
      <w:r w:rsidR="002F02D9" w:rsidRPr="0055056D">
        <w:rPr>
          <w:rStyle w:val="Rimandonotaapidipagina"/>
        </w:rPr>
        <w:footnoteReference w:id="164"/>
      </w:r>
      <w:r w:rsidR="002F02D9" w:rsidRPr="0055056D">
        <w:t>.</w:t>
      </w:r>
    </w:p>
    <w:p w14:paraId="26DB28C7" w14:textId="259884AD" w:rsidR="00131239" w:rsidRPr="0055056D" w:rsidRDefault="00131239" w:rsidP="00AD3D7D">
      <w:pPr>
        <w:pStyle w:val="MH1"/>
        <w:rPr>
          <w:lang w:val="en-US"/>
        </w:rPr>
      </w:pPr>
      <w:bookmarkStart w:id="12" w:name="_Toc134020197"/>
      <w:r w:rsidRPr="0055056D">
        <w:rPr>
          <w:lang w:val="en-US"/>
        </w:rPr>
        <w:lastRenderedPageBreak/>
        <w:t>Conclusion and New Challenges</w:t>
      </w:r>
      <w:bookmarkEnd w:id="12"/>
    </w:p>
    <w:p w14:paraId="6A913DA7" w14:textId="5F794D4E" w:rsidR="008225A9" w:rsidRPr="00F35C05" w:rsidRDefault="00B551BD" w:rsidP="00A31E5E">
      <w:pPr>
        <w:pStyle w:val="MBT"/>
      </w:pPr>
      <w:r w:rsidRPr="0055056D">
        <w:t xml:space="preserve">Since 2010 the </w:t>
      </w:r>
      <w:proofErr w:type="spellStart"/>
      <w:r w:rsidRPr="0055056D">
        <w:t>Fidesz</w:t>
      </w:r>
      <w:proofErr w:type="spellEnd"/>
      <w:r w:rsidRPr="0055056D">
        <w:t>-led governing coalition has systematically captured democratic institutions, such as the Parliament, the Constitutional Court, the judiciary as well as other key state agencies, such the</w:t>
      </w:r>
      <w:r w:rsidR="00D01A9E" w:rsidRPr="0055056D">
        <w:t xml:space="preserve"> Office of the Commissioner for Fundamental Rights or the</w:t>
      </w:r>
      <w:r w:rsidRPr="0055056D">
        <w:t xml:space="preserve"> Media Council that </w:t>
      </w:r>
      <w:r w:rsidR="00BB7944" w:rsidRPr="0055056D">
        <w:t>were</w:t>
      </w:r>
      <w:r w:rsidRPr="0055056D">
        <w:t xml:space="preserve"> supposed to </w:t>
      </w:r>
      <w:r w:rsidR="00BB7944" w:rsidRPr="0055056D">
        <w:t>ensure</w:t>
      </w:r>
      <w:r w:rsidR="00D01A9E" w:rsidRPr="0055056D">
        <w:t xml:space="preserve"> checks and balances against undue expansion of power. </w:t>
      </w:r>
      <w:r w:rsidR="0018559C" w:rsidRPr="0055056D">
        <w:t>To that effect a variety of tools were employed by the four consecutive Orbán-government</w:t>
      </w:r>
      <w:r w:rsidR="00BB7944" w:rsidRPr="0055056D">
        <w:t>s</w:t>
      </w:r>
      <w:r w:rsidR="0018559C" w:rsidRPr="0055056D">
        <w:t xml:space="preserve"> ranging from the rewriting of the constitution to the massive centralisation of the equality bodies and the circumvention of the safeguards of the ordinary legislative process </w:t>
      </w:r>
      <w:r w:rsidR="00DF3075" w:rsidRPr="0055056D">
        <w:t>via</w:t>
      </w:r>
      <w:r w:rsidR="0018559C" w:rsidRPr="0055056D">
        <w:t xml:space="preserve"> the use of decree</w:t>
      </w:r>
      <w:r w:rsidR="0078091F" w:rsidRPr="0055056D">
        <w:t xml:space="preserve">-governance. </w:t>
      </w:r>
      <w:r w:rsidR="000C76D4" w:rsidRPr="0055056D">
        <w:t>The revamp of the legal and democratic institutional landscape was accompanied by</w:t>
      </w:r>
      <w:r w:rsidR="0025726E" w:rsidRPr="0055056D">
        <w:t xml:space="preserve"> an</w:t>
      </w:r>
      <w:r w:rsidR="000C76D4" w:rsidRPr="0055056D">
        <w:t xml:space="preserve"> </w:t>
      </w:r>
      <w:r w:rsidR="00B568FA" w:rsidRPr="0055056D">
        <w:t xml:space="preserve">increasingly exclusionary populist political rhetoric </w:t>
      </w:r>
      <w:r w:rsidR="005E52C3" w:rsidRPr="0055056D">
        <w:t>with open attack</w:t>
      </w:r>
      <w:r w:rsidR="0025726E" w:rsidRPr="0055056D">
        <w:t>s</w:t>
      </w:r>
      <w:r w:rsidR="005E52C3" w:rsidRPr="0055056D">
        <w:t xml:space="preserve"> on </w:t>
      </w:r>
      <w:r w:rsidR="00DA353C" w:rsidRPr="0055056D">
        <w:t xml:space="preserve">any </w:t>
      </w:r>
      <w:r w:rsidR="00556CDF" w:rsidRPr="0055056D">
        <w:t xml:space="preserve">political view different from the Christian-conservative </w:t>
      </w:r>
      <w:r w:rsidR="0095661F" w:rsidRPr="0055056D">
        <w:t xml:space="preserve">government ideology, </w:t>
      </w:r>
      <w:r w:rsidR="004244C5" w:rsidRPr="0055056D">
        <w:t xml:space="preserve">on minorities </w:t>
      </w:r>
      <w:r w:rsidR="0034393F" w:rsidRPr="0055056D">
        <w:t>and vulnerable groups from LGBTIQ persons to refugees</w:t>
      </w:r>
      <w:r w:rsidR="005033B6" w:rsidRPr="0055056D">
        <w:t>, a</w:t>
      </w:r>
      <w:r w:rsidR="00123A9B" w:rsidRPr="0055056D">
        <w:t xml:space="preserve">s well as </w:t>
      </w:r>
      <w:r w:rsidR="00DA353C" w:rsidRPr="0055056D">
        <w:t xml:space="preserve">on </w:t>
      </w:r>
      <w:r w:rsidR="009857F7" w:rsidRPr="0055056D">
        <w:t xml:space="preserve">any entities not </w:t>
      </w:r>
      <w:r w:rsidR="00E8270F" w:rsidRPr="0055056D">
        <w:t xml:space="preserve">falling in line. </w:t>
      </w:r>
      <w:r w:rsidR="00BE2729" w:rsidRPr="0055056D">
        <w:t>So-called</w:t>
      </w:r>
      <w:r w:rsidR="00E8270F" w:rsidRPr="0055056D">
        <w:t xml:space="preserve"> public consultations have </w:t>
      </w:r>
      <w:r w:rsidR="00DA353C" w:rsidRPr="0055056D">
        <w:t xml:space="preserve">increasingly </w:t>
      </w:r>
      <w:r w:rsidR="00E8270F" w:rsidRPr="0055056D">
        <w:t xml:space="preserve">become means of gaining </w:t>
      </w:r>
      <w:r w:rsidR="003A3C05" w:rsidRPr="0055056D">
        <w:t xml:space="preserve">populist support </w:t>
      </w:r>
      <w:r w:rsidR="00076C3B" w:rsidRPr="0055056D">
        <w:t>for</w:t>
      </w:r>
      <w:r w:rsidR="003A3C05" w:rsidRPr="0055056D">
        <w:t xml:space="preserve"> the government policies</w:t>
      </w:r>
      <w:r w:rsidR="00076C3B" w:rsidRPr="0055056D">
        <w:t xml:space="preserve"> that </w:t>
      </w:r>
      <w:r w:rsidR="005647B0" w:rsidRPr="0055056D">
        <w:t>focused on pain</w:t>
      </w:r>
      <w:r w:rsidR="00DA353C" w:rsidRPr="0055056D">
        <w:t>t</w:t>
      </w:r>
      <w:r w:rsidR="005647B0" w:rsidRPr="0055056D">
        <w:t xml:space="preserve">ing an enemy picture against whom the </w:t>
      </w:r>
      <w:r w:rsidR="001A2A2D" w:rsidRPr="0055056D">
        <w:t>Hungarian nation must protect itself: be it the</w:t>
      </w:r>
      <w:r w:rsidR="002B0CCA" w:rsidRPr="0055056D">
        <w:t xml:space="preserve"> anti-immigrant</w:t>
      </w:r>
      <w:r w:rsidR="001A2A2D" w:rsidRPr="0055056D">
        <w:t xml:space="preserve"> Stop-Soros campaign, or the Stop-Brussels consultation</w:t>
      </w:r>
      <w:r w:rsidR="002E4E81" w:rsidRPr="0055056D">
        <w:t xml:space="preserve"> </w:t>
      </w:r>
      <w:r w:rsidR="001D39AD" w:rsidRPr="0055056D">
        <w:t>claiming a list of ways in which “Brussels have attacked our country”.</w:t>
      </w:r>
      <w:r w:rsidR="000A4FC6" w:rsidRPr="0055056D">
        <w:rPr>
          <w:rStyle w:val="Rimandonotaapidipagina"/>
        </w:rPr>
        <w:footnoteReference w:id="165"/>
      </w:r>
      <w:r w:rsidR="002A6A97" w:rsidRPr="0055056D">
        <w:t xml:space="preserve"> </w:t>
      </w:r>
      <w:r w:rsidR="00702365" w:rsidRPr="0055056D">
        <w:t>In the reign of what has emerged as the hybrid partially-free electoral autocracy of a nationalist populist leader</w:t>
      </w:r>
      <w:r w:rsidR="00906388" w:rsidRPr="0055056D">
        <w:rPr>
          <w:rStyle w:val="Rimandonotaapidipagina"/>
        </w:rPr>
        <w:footnoteReference w:id="166"/>
      </w:r>
      <w:r w:rsidR="00702365" w:rsidRPr="0055056D">
        <w:t xml:space="preserve">, the </w:t>
      </w:r>
      <w:r w:rsidR="00126C92" w:rsidRPr="0055056D">
        <w:t xml:space="preserve">national tools to protect the rule of law have proven to be weak and recent positive legislative and administrative steps to strengthen the rule of law have </w:t>
      </w:r>
      <w:r w:rsidR="000F223E" w:rsidRPr="0055056D">
        <w:t xml:space="preserve">not been the result of domestic mechanism but have rather </w:t>
      </w:r>
      <w:r w:rsidR="00126C92" w:rsidRPr="0055056D">
        <w:t xml:space="preserve">been linked to the </w:t>
      </w:r>
      <w:r w:rsidR="000F223E" w:rsidRPr="0055056D">
        <w:t>activation</w:t>
      </w:r>
      <w:r w:rsidR="00126C92" w:rsidRPr="0055056D">
        <w:t xml:space="preserve"> </w:t>
      </w:r>
      <w:r w:rsidR="00E2606C" w:rsidRPr="0055056D">
        <w:t xml:space="preserve">of the EU rule of law </w:t>
      </w:r>
      <w:r w:rsidR="000F223E" w:rsidRPr="0055056D">
        <w:t>toolkit</w:t>
      </w:r>
      <w:r w:rsidR="00C25082" w:rsidRPr="0055056D">
        <w:t>.</w:t>
      </w:r>
    </w:p>
    <w:p w14:paraId="309F8D26" w14:textId="66373CDC" w:rsidR="00A31E5E" w:rsidRPr="00F35C05" w:rsidRDefault="00A31E5E" w:rsidP="00A31E5E">
      <w:pPr>
        <w:pStyle w:val="MBT"/>
      </w:pPr>
    </w:p>
    <w:p w14:paraId="0D335A42" w14:textId="73F6C251" w:rsidR="00345246" w:rsidRPr="00A31E5E" w:rsidRDefault="00345246" w:rsidP="00345246">
      <w:pPr>
        <w:pStyle w:val="MBT"/>
        <w:rPr>
          <w:lang w:eastAsia="en-GB"/>
        </w:rPr>
      </w:pPr>
    </w:p>
    <w:sectPr w:rsidR="00345246" w:rsidRPr="00A31E5E" w:rsidSect="008958DE">
      <w:headerReference w:type="default" r:id="rId16"/>
      <w:footerReference w:type="default" r:id="rId17"/>
      <w:pgSz w:w="11906" w:h="16838" w:code="9"/>
      <w:pgMar w:top="1418" w:right="851"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BD1C" w14:textId="77777777" w:rsidR="00AE0D40" w:rsidRDefault="00AE0D40">
      <w:r>
        <w:separator/>
      </w:r>
    </w:p>
    <w:p w14:paraId="6303D275" w14:textId="77777777" w:rsidR="00AE0D40" w:rsidRDefault="00AE0D40"/>
    <w:p w14:paraId="24ADB2F0" w14:textId="77777777" w:rsidR="00AE0D40" w:rsidRDefault="00AE0D40"/>
  </w:endnote>
  <w:endnote w:type="continuationSeparator" w:id="0">
    <w:p w14:paraId="104A3C59" w14:textId="77777777" w:rsidR="00AE0D40" w:rsidRDefault="00AE0D40">
      <w:r>
        <w:continuationSeparator/>
      </w:r>
    </w:p>
    <w:p w14:paraId="0AF9EB2A" w14:textId="77777777" w:rsidR="00AE0D40" w:rsidRDefault="00AE0D40"/>
    <w:p w14:paraId="30BF7304" w14:textId="77777777" w:rsidR="00AE0D40" w:rsidRDefault="00AE0D40"/>
  </w:endnote>
  <w:endnote w:type="continuationNotice" w:id="1">
    <w:p w14:paraId="55AA6A6E" w14:textId="77777777" w:rsidR="00AE0D40" w:rsidRDefault="00AE0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2093"/>
      <w:gridCol w:w="7073"/>
    </w:tblGrid>
    <w:tr w:rsidR="00C41866" w:rsidRPr="0065593C" w14:paraId="24690FE7" w14:textId="77777777" w:rsidTr="009F60BC">
      <w:tc>
        <w:tcPr>
          <w:tcW w:w="2093" w:type="dxa"/>
        </w:tcPr>
        <w:p w14:paraId="05EF168C" w14:textId="77777777" w:rsidR="00C41866" w:rsidRPr="007E257E" w:rsidRDefault="00C41866" w:rsidP="00A6698C">
          <w:pPr>
            <w:pStyle w:val="Intestazione"/>
            <w:ind w:right="360"/>
            <w:rPr>
              <w:i/>
              <w:sz w:val="18"/>
              <w:szCs w:val="18"/>
            </w:rPr>
          </w:pPr>
          <w:r w:rsidRPr="007E257E">
            <w:rPr>
              <w:i/>
              <w:sz w:val="18"/>
              <w:szCs w:val="18"/>
            </w:rPr>
            <w:t xml:space="preserve">Milieu Ltd </w:t>
          </w:r>
        </w:p>
        <w:p w14:paraId="4040B387" w14:textId="77777777" w:rsidR="00C41866" w:rsidRPr="007E257E" w:rsidRDefault="00C41866" w:rsidP="00A6698C">
          <w:pPr>
            <w:pStyle w:val="Intestazione"/>
            <w:ind w:right="360"/>
            <w:rPr>
              <w:i/>
              <w:sz w:val="18"/>
              <w:szCs w:val="18"/>
            </w:rPr>
          </w:pPr>
          <w:r w:rsidRPr="007E257E">
            <w:rPr>
              <w:i/>
              <w:sz w:val="18"/>
              <w:szCs w:val="18"/>
            </w:rPr>
            <w:t xml:space="preserve">Brussels </w:t>
          </w:r>
        </w:p>
      </w:tc>
      <w:tc>
        <w:tcPr>
          <w:tcW w:w="7073" w:type="dxa"/>
        </w:tcPr>
        <w:p w14:paraId="0D342481" w14:textId="77777777" w:rsidR="00C41866" w:rsidRPr="000C74BF" w:rsidRDefault="00C41866" w:rsidP="00A6698C">
          <w:pPr>
            <w:pStyle w:val="Intestazione"/>
            <w:ind w:right="360"/>
            <w:jc w:val="right"/>
            <w:rPr>
              <w:i/>
              <w:sz w:val="18"/>
              <w:szCs w:val="18"/>
            </w:rPr>
          </w:pPr>
          <w:r w:rsidRPr="000C74BF">
            <w:rPr>
              <w:i/>
              <w:sz w:val="18"/>
              <w:szCs w:val="18"/>
            </w:rPr>
            <w:t xml:space="preserve">Conformity Study Directive </w:t>
          </w:r>
          <w:r>
            <w:rPr>
              <w:i/>
              <w:sz w:val="18"/>
              <w:szCs w:val="18"/>
            </w:rPr>
            <w:t xml:space="preserve">2003/87/EC as amended by Directives </w:t>
          </w:r>
          <w:r w:rsidRPr="000C74BF">
            <w:rPr>
              <w:i/>
              <w:sz w:val="18"/>
              <w:szCs w:val="18"/>
            </w:rPr>
            <w:t>2008/101/EC</w:t>
          </w:r>
          <w:r>
            <w:rPr>
              <w:i/>
              <w:sz w:val="18"/>
              <w:szCs w:val="18"/>
            </w:rPr>
            <w:t xml:space="preserve"> and 2009/29/EC</w:t>
          </w:r>
          <w:r w:rsidRPr="000C74BF">
            <w:rPr>
              <w:i/>
              <w:sz w:val="18"/>
              <w:szCs w:val="18"/>
            </w:rPr>
            <w:t xml:space="preserve"> for </w:t>
          </w:r>
          <w:r w:rsidRPr="000C74BF">
            <w:rPr>
              <w:i/>
              <w:sz w:val="18"/>
              <w:szCs w:val="18"/>
              <w:highlight w:val="yellow"/>
            </w:rPr>
            <w:t>(Country), Month Year</w:t>
          </w:r>
          <w:r w:rsidRPr="000C74BF">
            <w:rPr>
              <w:i/>
              <w:sz w:val="18"/>
              <w:szCs w:val="18"/>
            </w:rPr>
            <w:t xml:space="preserve"> / </w:t>
          </w:r>
          <w:r w:rsidRPr="000C74BF">
            <w:rPr>
              <w:rStyle w:val="Numeropagina"/>
              <w:sz w:val="18"/>
              <w:szCs w:val="18"/>
            </w:rPr>
            <w:fldChar w:fldCharType="begin"/>
          </w:r>
          <w:r w:rsidRPr="000C74BF">
            <w:rPr>
              <w:rStyle w:val="Numeropagina"/>
              <w:sz w:val="18"/>
              <w:szCs w:val="18"/>
            </w:rPr>
            <w:instrText xml:space="preserve"> PAGE </w:instrText>
          </w:r>
          <w:r w:rsidRPr="000C74BF">
            <w:rPr>
              <w:rStyle w:val="Numeropagina"/>
              <w:sz w:val="18"/>
              <w:szCs w:val="18"/>
            </w:rPr>
            <w:fldChar w:fldCharType="separate"/>
          </w:r>
          <w:r>
            <w:rPr>
              <w:rStyle w:val="Numeropagina"/>
              <w:noProof/>
              <w:sz w:val="18"/>
              <w:szCs w:val="18"/>
            </w:rPr>
            <w:t>9</w:t>
          </w:r>
          <w:r w:rsidRPr="000C74BF">
            <w:rPr>
              <w:rStyle w:val="Numeropagina"/>
              <w:sz w:val="18"/>
              <w:szCs w:val="18"/>
            </w:rPr>
            <w:fldChar w:fldCharType="end"/>
          </w:r>
        </w:p>
      </w:tc>
    </w:tr>
    <w:tr w:rsidR="00C41866" w:rsidRPr="0065593C" w14:paraId="7697BFB6" w14:textId="77777777" w:rsidTr="009F60BC">
      <w:tc>
        <w:tcPr>
          <w:tcW w:w="2093" w:type="dxa"/>
        </w:tcPr>
        <w:p w14:paraId="6D93DCBE" w14:textId="77777777" w:rsidR="00C41866" w:rsidRPr="00650D5D" w:rsidRDefault="00C41866" w:rsidP="009F60BC">
          <w:pPr>
            <w:pStyle w:val="Intestazione"/>
            <w:ind w:right="360"/>
            <w:rPr>
              <w:i/>
              <w:sz w:val="18"/>
              <w:szCs w:val="18"/>
              <w:lang w:val="en-US"/>
            </w:rPr>
          </w:pPr>
        </w:p>
      </w:tc>
      <w:tc>
        <w:tcPr>
          <w:tcW w:w="7073" w:type="dxa"/>
        </w:tcPr>
        <w:p w14:paraId="5C885E55" w14:textId="77777777" w:rsidR="00C41866" w:rsidRDefault="00C41866" w:rsidP="008F7927">
          <w:pPr>
            <w:pStyle w:val="Intestazione"/>
            <w:ind w:right="360"/>
            <w:rPr>
              <w:i/>
              <w:sz w:val="20"/>
              <w:szCs w:val="20"/>
            </w:rPr>
          </w:pPr>
        </w:p>
      </w:tc>
    </w:tr>
  </w:tbl>
  <w:p w14:paraId="36A2AB58" w14:textId="77777777" w:rsidR="00C41866" w:rsidRPr="00EF3893" w:rsidRDefault="00C418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DFA0" w14:textId="77777777" w:rsidR="007721D1" w:rsidRPr="00EA77F1" w:rsidRDefault="007721D1" w:rsidP="007721D1">
    <w:pPr>
      <w:pStyle w:val="MFooterSection"/>
      <w:jc w:val="left"/>
      <w:rPr>
        <w:rFonts w:ascii="Arial" w:hAnsi="Arial" w:cs="Arial"/>
        <w:szCs w:val="18"/>
      </w:rPr>
    </w:pPr>
  </w:p>
  <w:tbl>
    <w:tblPr>
      <w:tblW w:w="5000" w:type="pct"/>
      <w:tblBorders>
        <w:top w:val="single" w:sz="4" w:space="0" w:color="auto"/>
      </w:tblBorders>
      <w:tblLook w:val="01E0" w:firstRow="1" w:lastRow="1" w:firstColumn="1" w:lastColumn="1" w:noHBand="0" w:noVBand="0"/>
    </w:tblPr>
    <w:tblGrid>
      <w:gridCol w:w="2515"/>
      <w:gridCol w:w="7122"/>
    </w:tblGrid>
    <w:tr w:rsidR="007721D1" w:rsidRPr="00EA77F1" w14:paraId="6E41D2E4" w14:textId="77777777">
      <w:tc>
        <w:tcPr>
          <w:tcW w:w="1305" w:type="pct"/>
        </w:tcPr>
        <w:p w14:paraId="4220A7C2" w14:textId="77777777" w:rsidR="007721D1" w:rsidRPr="00EA77F1" w:rsidRDefault="007721D1" w:rsidP="007721D1">
          <w:pPr>
            <w:pStyle w:val="MFooterSection"/>
            <w:jc w:val="left"/>
            <w:rPr>
              <w:rFonts w:ascii="Arial" w:hAnsi="Arial" w:cs="Arial"/>
              <w:szCs w:val="18"/>
            </w:rPr>
          </w:pPr>
          <w:r w:rsidRPr="00EA77F1">
            <w:rPr>
              <w:rFonts w:ascii="Arial" w:hAnsi="Arial" w:cs="Arial"/>
              <w:szCs w:val="18"/>
            </w:rPr>
            <w:t>Milieu Consulting SRL</w:t>
          </w:r>
        </w:p>
        <w:p w14:paraId="79D0A4E0" w14:textId="5B3A41BD" w:rsidR="007721D1" w:rsidRPr="00EA77F1" w:rsidRDefault="007721D1" w:rsidP="007721D1">
          <w:pPr>
            <w:pStyle w:val="MFooterSection"/>
            <w:jc w:val="left"/>
            <w:rPr>
              <w:rFonts w:ascii="Arial" w:hAnsi="Arial" w:cs="Arial"/>
              <w:szCs w:val="18"/>
            </w:rPr>
          </w:pPr>
          <w:r w:rsidRPr="00EA77F1">
            <w:rPr>
              <w:rFonts w:ascii="Arial" w:hAnsi="Arial" w:cs="Arial"/>
              <w:szCs w:val="18"/>
            </w:rPr>
            <w:t xml:space="preserve">Brussels, </w:t>
          </w:r>
          <w:r w:rsidR="000E5B20">
            <w:rPr>
              <w:rFonts w:ascii="Arial" w:hAnsi="Arial" w:cs="Arial"/>
              <w:szCs w:val="18"/>
            </w:rPr>
            <w:t>April 2023</w:t>
          </w:r>
          <w:r w:rsidRPr="00EA77F1">
            <w:rPr>
              <w:rFonts w:ascii="Arial" w:hAnsi="Arial" w:cs="Arial"/>
              <w:szCs w:val="18"/>
            </w:rPr>
            <w:t xml:space="preserve"> </w:t>
          </w:r>
        </w:p>
      </w:tc>
      <w:tc>
        <w:tcPr>
          <w:tcW w:w="3695" w:type="pct"/>
        </w:tcPr>
        <w:p w14:paraId="54522427" w14:textId="77777777" w:rsidR="007721D1" w:rsidRPr="00EA77F1" w:rsidRDefault="007721D1" w:rsidP="007721D1">
          <w:pPr>
            <w:pStyle w:val="MFooterSection"/>
            <w:rPr>
              <w:rFonts w:ascii="Arial" w:hAnsi="Arial" w:cs="Arial"/>
              <w:szCs w:val="18"/>
            </w:rPr>
          </w:pPr>
          <w:r w:rsidRPr="007046E4">
            <w:rPr>
              <w:rFonts w:ascii="Arial" w:hAnsi="Arial" w:cs="Arial"/>
              <w:szCs w:val="18"/>
            </w:rPr>
            <w:t>Use of the rule of law legal instruments in the face of mounting dissensus at a national level</w:t>
          </w:r>
        </w:p>
      </w:tc>
    </w:tr>
  </w:tbl>
  <w:p w14:paraId="6E447627" w14:textId="77777777" w:rsidR="007721D1" w:rsidRPr="00EA77F1" w:rsidRDefault="007721D1" w:rsidP="007721D1">
    <w:pPr>
      <w:pStyle w:val="MFooterSection"/>
      <w:jc w:val="left"/>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E57C" w14:textId="77777777" w:rsidR="00AE0D40" w:rsidRDefault="00AE0D40">
      <w:r>
        <w:separator/>
      </w:r>
    </w:p>
  </w:footnote>
  <w:footnote w:type="continuationSeparator" w:id="0">
    <w:p w14:paraId="0B21F26B" w14:textId="77777777" w:rsidR="00AE0D40" w:rsidRDefault="00AE0D40">
      <w:r>
        <w:continuationSeparator/>
      </w:r>
    </w:p>
    <w:p w14:paraId="305DA42D" w14:textId="77777777" w:rsidR="00AE0D40" w:rsidRDefault="00AE0D40"/>
    <w:p w14:paraId="137019C2" w14:textId="77777777" w:rsidR="00AE0D40" w:rsidRDefault="00AE0D40"/>
  </w:footnote>
  <w:footnote w:type="continuationNotice" w:id="1">
    <w:p w14:paraId="59ACED75" w14:textId="77777777" w:rsidR="00AE0D40" w:rsidRDefault="00AE0D40"/>
  </w:footnote>
  <w:footnote w:id="2">
    <w:p w14:paraId="7CF7578D" w14:textId="6E48EEF5" w:rsidR="00FF6276" w:rsidRPr="00C44189" w:rsidRDefault="00FF6276"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00D96B33" w:rsidRPr="00C44189">
        <w:rPr>
          <w:rFonts w:cs="Arial"/>
          <w:szCs w:val="16"/>
          <w:lang w:val="en-US"/>
        </w:rPr>
        <w:t xml:space="preserve">Parliament, Cardinal Laws, available at: </w:t>
      </w:r>
      <w:hyperlink r:id="rId1" w:history="1">
        <w:r w:rsidR="00D96B33" w:rsidRPr="00C44189">
          <w:rPr>
            <w:rStyle w:val="Collegamentoipertestuale"/>
            <w:rFonts w:cs="Arial"/>
            <w:szCs w:val="16"/>
            <w:lang w:val="en-US"/>
          </w:rPr>
          <w:t>https://www.parlament.hu/aktual/srk_trv/bevezetes</w:t>
        </w:r>
      </w:hyperlink>
      <w:r w:rsidR="00D96B33" w:rsidRPr="00C44189">
        <w:rPr>
          <w:rFonts w:cs="Arial"/>
          <w:szCs w:val="16"/>
          <w:lang w:val="en-US"/>
        </w:rPr>
        <w:t xml:space="preserve"> </w:t>
      </w:r>
    </w:p>
  </w:footnote>
  <w:footnote w:id="3">
    <w:p w14:paraId="439AF934" w14:textId="3E6B3EA6" w:rsidR="00DD2781" w:rsidRPr="00C44189" w:rsidRDefault="00DD2781" w:rsidP="00AA1605">
      <w:pPr>
        <w:pStyle w:val="Testonotaapidipagina"/>
        <w:jc w:val="both"/>
        <w:rPr>
          <w:rFonts w:cs="Arial"/>
          <w:szCs w:val="16"/>
          <w:lang w:val="en-US"/>
        </w:rPr>
      </w:pPr>
      <w:r w:rsidRPr="00C44189">
        <w:rPr>
          <w:rStyle w:val="Rimandonotaapidipagina"/>
          <w:rFonts w:ascii="Arial" w:hAnsi="Arial" w:cs="Arial"/>
          <w:szCs w:val="16"/>
        </w:rPr>
        <w:footnoteRef/>
      </w:r>
      <w:r w:rsidR="00D42179" w:rsidRPr="00C44189">
        <w:rPr>
          <w:rFonts w:cs="Arial"/>
          <w:szCs w:val="16"/>
        </w:rPr>
        <w:t xml:space="preserve"> </w:t>
      </w:r>
      <w:r w:rsidR="00477070" w:rsidRPr="00C44189">
        <w:rPr>
          <w:rFonts w:cs="Arial"/>
          <w:szCs w:val="16"/>
        </w:rPr>
        <w:t xml:space="preserve">Commission Staff Working Document, 2022 Rule of Law Report, Country Chapter on the rule of law situation in Hungary, p 23 available at: </w:t>
      </w:r>
      <w:hyperlink r:id="rId2" w:history="1">
        <w:r w:rsidR="00477070" w:rsidRPr="00C44189">
          <w:rPr>
            <w:rStyle w:val="Collegamentoipertestuale"/>
            <w:rFonts w:cs="Arial"/>
            <w:szCs w:val="16"/>
          </w:rPr>
          <w:t>https://commission.europa.eu/system/files/2022-07/40_1_193993_coun_chap_hungary_en.pdf</w:t>
        </w:r>
      </w:hyperlink>
    </w:p>
  </w:footnote>
  <w:footnote w:id="4">
    <w:p w14:paraId="17FE6C1C" w14:textId="77777777" w:rsidR="00C270F3" w:rsidRPr="00C44189" w:rsidRDefault="00C270F3" w:rsidP="00AA1605">
      <w:pPr>
        <w:pStyle w:val="Testonotaapidipagina"/>
        <w:ind w:left="0" w:firstLine="0"/>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proofErr w:type="spellStart"/>
      <w:r w:rsidRPr="00C44189">
        <w:rPr>
          <w:rFonts w:cs="Arial"/>
          <w:szCs w:val="16"/>
        </w:rPr>
        <w:t>Bermeo</w:t>
      </w:r>
      <w:proofErr w:type="spellEnd"/>
      <w:r w:rsidRPr="00C44189">
        <w:rPr>
          <w:rFonts w:cs="Arial"/>
          <w:szCs w:val="16"/>
        </w:rPr>
        <w:t xml:space="preserve">, Nancy. “On Democratic Backsliding”. Journal of Democracy, vol. 27, no. 1, Jan. 2016, pp. 5-19, available at: </w:t>
      </w:r>
      <w:hyperlink r:id="rId3" w:history="1">
        <w:r w:rsidRPr="00C44189">
          <w:rPr>
            <w:rStyle w:val="Collegamentoipertestuale"/>
            <w:rFonts w:cs="Arial"/>
            <w:szCs w:val="16"/>
          </w:rPr>
          <w:t>https://www.journalofdemocracy.org/articles/on-democratic-backsliding/</w:t>
        </w:r>
      </w:hyperlink>
      <w:r w:rsidRPr="00C44189">
        <w:rPr>
          <w:rFonts w:cs="Arial"/>
          <w:szCs w:val="16"/>
        </w:rPr>
        <w:t xml:space="preserve"> </w:t>
      </w:r>
    </w:p>
  </w:footnote>
  <w:footnote w:id="5">
    <w:p w14:paraId="5625F3AE" w14:textId="77777777" w:rsidR="00714D46" w:rsidRPr="00C44189" w:rsidRDefault="00714D46"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Freedom House, Freedom of the World 2023, </w:t>
      </w:r>
      <w:r w:rsidRPr="00C44189">
        <w:rPr>
          <w:rFonts w:cs="Arial"/>
          <w:szCs w:val="16"/>
          <w:lang w:val="en-US"/>
        </w:rPr>
        <w:t xml:space="preserve">p 12, available at: </w:t>
      </w:r>
      <w:hyperlink r:id="rId4" w:history="1">
        <w:r w:rsidRPr="00C44189">
          <w:rPr>
            <w:rStyle w:val="Collegamentoipertestuale"/>
            <w:rFonts w:cs="Arial"/>
            <w:szCs w:val="16"/>
            <w:lang w:val="en-US"/>
          </w:rPr>
          <w:t>https://freedomhouse.org/sites/default/files/2023-03/FIW_World_2023_DigtalPDF.pdf</w:t>
        </w:r>
      </w:hyperlink>
      <w:r w:rsidRPr="00C44189">
        <w:rPr>
          <w:rFonts w:cs="Arial"/>
          <w:szCs w:val="16"/>
          <w:lang w:val="en-US"/>
        </w:rPr>
        <w:t xml:space="preserve"> p</w:t>
      </w:r>
      <w:r w:rsidRPr="00C44189">
        <w:rPr>
          <w:rFonts w:cs="Arial"/>
          <w:szCs w:val="16"/>
        </w:rPr>
        <w:t xml:space="preserve"> 28</w:t>
      </w:r>
    </w:p>
  </w:footnote>
  <w:footnote w:id="6">
    <w:p w14:paraId="16862A0B" w14:textId="77777777" w:rsidR="00C270F3" w:rsidRPr="00C44189" w:rsidRDefault="00C270F3"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Pr="00C44189">
        <w:rPr>
          <w:rFonts w:cs="Arial"/>
          <w:szCs w:val="16"/>
          <w:lang w:val="en-US"/>
        </w:rPr>
        <w:t>Largest ten-year declines in</w:t>
      </w:r>
      <w:r w:rsidRPr="00C44189">
        <w:rPr>
          <w:rFonts w:cs="Arial"/>
          <w:szCs w:val="16"/>
        </w:rPr>
        <w:t xml:space="preserve"> Freedom House, Freedom of the World 2023, </w:t>
      </w:r>
      <w:r w:rsidRPr="00C44189">
        <w:rPr>
          <w:rFonts w:cs="Arial"/>
          <w:szCs w:val="16"/>
          <w:lang w:val="en-US"/>
        </w:rPr>
        <w:t xml:space="preserve">p 12, available at: </w:t>
      </w:r>
      <w:hyperlink r:id="rId5" w:history="1">
        <w:r w:rsidRPr="00C44189">
          <w:rPr>
            <w:rStyle w:val="Collegamentoipertestuale"/>
            <w:rFonts w:cs="Arial"/>
            <w:szCs w:val="16"/>
            <w:lang w:val="en-US"/>
          </w:rPr>
          <w:t>https://freedomhouse.org/sites/default/files/2023-03/FIW_World_2023_DigtalPDF.pdf</w:t>
        </w:r>
      </w:hyperlink>
      <w:r w:rsidRPr="00C44189">
        <w:rPr>
          <w:rFonts w:cs="Arial"/>
          <w:szCs w:val="16"/>
          <w:lang w:val="en-US"/>
        </w:rPr>
        <w:t xml:space="preserve"> </w:t>
      </w:r>
    </w:p>
  </w:footnote>
  <w:footnote w:id="7">
    <w:p w14:paraId="3407A07E" w14:textId="77777777" w:rsidR="00C270F3" w:rsidRPr="00C44189" w:rsidRDefault="00C270F3"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V-Dem Institute: Democracy Report 2023: Defiance in the Face of </w:t>
      </w:r>
      <w:proofErr w:type="spellStart"/>
      <w:r w:rsidRPr="00C44189">
        <w:rPr>
          <w:rFonts w:cs="Arial"/>
          <w:szCs w:val="16"/>
        </w:rPr>
        <w:t>Autocratisation</w:t>
      </w:r>
      <w:proofErr w:type="spellEnd"/>
      <w:r w:rsidRPr="00C44189">
        <w:rPr>
          <w:rFonts w:cs="Arial"/>
          <w:szCs w:val="16"/>
        </w:rPr>
        <w:t xml:space="preserve">, p 10, available at: </w:t>
      </w:r>
      <w:hyperlink r:id="rId6" w:history="1">
        <w:r w:rsidRPr="00C44189">
          <w:rPr>
            <w:rStyle w:val="Collegamentoipertestuale"/>
            <w:rFonts w:cs="Arial"/>
            <w:szCs w:val="16"/>
          </w:rPr>
          <w:t>https://www.v-dem.net/documents/29/V-dem_democracyreport2023_lowres.pdf</w:t>
        </w:r>
      </w:hyperlink>
      <w:r w:rsidRPr="00C44189">
        <w:rPr>
          <w:rFonts w:cs="Arial"/>
          <w:szCs w:val="16"/>
        </w:rPr>
        <w:t xml:space="preserve"> </w:t>
      </w:r>
    </w:p>
  </w:footnote>
  <w:footnote w:id="8">
    <w:p w14:paraId="23A4D9F7" w14:textId="77777777" w:rsidR="00C270F3" w:rsidRPr="00C44189" w:rsidRDefault="00C270F3"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Ibid. p 23.</w:t>
      </w:r>
    </w:p>
  </w:footnote>
  <w:footnote w:id="9">
    <w:p w14:paraId="064AAA8E" w14:textId="77777777" w:rsidR="00C270F3" w:rsidRPr="00C44189" w:rsidRDefault="00C270F3"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Ibid p. 45.</w:t>
      </w:r>
    </w:p>
  </w:footnote>
  <w:footnote w:id="10">
    <w:p w14:paraId="797DCA8C" w14:textId="77777777" w:rsidR="00C270F3" w:rsidRPr="00C44189" w:rsidRDefault="00C270F3"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Z. Fleck et al., Opinion of the Fundamental Law, June 2011 </w:t>
      </w:r>
    </w:p>
    <w:p w14:paraId="69D04934" w14:textId="77777777" w:rsidR="00C270F3" w:rsidRPr="00C44189" w:rsidRDefault="00C270F3" w:rsidP="00AA1605">
      <w:pPr>
        <w:pStyle w:val="Testonotaapidipagina"/>
        <w:jc w:val="both"/>
        <w:rPr>
          <w:rFonts w:cs="Arial"/>
          <w:szCs w:val="16"/>
        </w:rPr>
      </w:pPr>
      <w:r w:rsidRPr="00C44189">
        <w:rPr>
          <w:rFonts w:cs="Arial"/>
          <w:szCs w:val="16"/>
        </w:rPr>
        <w:t xml:space="preserve">available at: </w:t>
      </w:r>
      <w:hyperlink r:id="rId7" w:history="1">
        <w:r w:rsidRPr="00C44189">
          <w:rPr>
            <w:rStyle w:val="Collegamentoipertestuale"/>
            <w:rFonts w:cs="Arial"/>
            <w:szCs w:val="16"/>
          </w:rPr>
          <w:t>https://lapa.princeton.edu/hosteddocs/amicus-to-vc-english-final.pdf</w:t>
        </w:r>
      </w:hyperlink>
      <w:r w:rsidRPr="00C44189">
        <w:rPr>
          <w:rFonts w:cs="Arial"/>
          <w:szCs w:val="16"/>
        </w:rPr>
        <w:t xml:space="preserve"> </w:t>
      </w:r>
    </w:p>
  </w:footnote>
  <w:footnote w:id="11">
    <w:p w14:paraId="769542E7" w14:textId="77777777" w:rsidR="00C270F3" w:rsidRPr="00C44189" w:rsidRDefault="00C270F3"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EUROPEAN COMMISSION FOR DEMOCRACY THROUGH LAW (VENICE COMMISSION), OPINION ON THREE LEGAL QUESTIONS ARISING IN THE PROCESS OF DRAFTING THE NEW CONSTITUTION OF HUNGARY, Adopted by the Venice Commission at its 86th Plenary Session (Venice, 25-26 March 2011) available at: </w:t>
      </w:r>
      <w:hyperlink r:id="rId8" w:history="1">
        <w:r w:rsidRPr="00C44189">
          <w:rPr>
            <w:rStyle w:val="Collegamentoipertestuale"/>
            <w:rFonts w:cs="Arial"/>
            <w:szCs w:val="16"/>
          </w:rPr>
          <w:t>https://www.venice.coe.int/webforms/documents/default.aspx?pdffile=CDL-AD(2011)001-e</w:t>
        </w:r>
      </w:hyperlink>
      <w:r w:rsidRPr="00C44189">
        <w:rPr>
          <w:rFonts w:cs="Arial"/>
          <w:szCs w:val="16"/>
        </w:rPr>
        <w:t xml:space="preserve"> </w:t>
      </w:r>
    </w:p>
  </w:footnote>
  <w:footnote w:id="12">
    <w:p w14:paraId="57349127" w14:textId="77777777" w:rsidR="00C270F3" w:rsidRPr="00C44189" w:rsidRDefault="00C270F3"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Style w:val="Rimandonotaapidipagina"/>
          <w:rFonts w:ascii="Arial" w:hAnsi="Arial" w:cs="Arial"/>
          <w:szCs w:val="16"/>
        </w:rPr>
        <w:footnoteRef/>
      </w:r>
      <w:r w:rsidRPr="00C44189">
        <w:rPr>
          <w:rFonts w:cs="Arial"/>
          <w:szCs w:val="16"/>
        </w:rPr>
        <w:t xml:space="preserve"> Article B of the </w:t>
      </w:r>
      <w:hyperlink r:id="rId9" w:history="1">
        <w:r w:rsidRPr="00C44189">
          <w:rPr>
            <w:rStyle w:val="Collegamentoipertestuale"/>
            <w:rFonts w:cs="Arial"/>
            <w:szCs w:val="16"/>
          </w:rPr>
          <w:t>Fundamental Law of Hungary 2011 (rev. 2016)</w:t>
        </w:r>
      </w:hyperlink>
      <w:r w:rsidRPr="00C44189">
        <w:rPr>
          <w:rFonts w:cs="Arial"/>
          <w:szCs w:val="16"/>
        </w:rPr>
        <w:t xml:space="preserve"> </w:t>
      </w:r>
    </w:p>
  </w:footnote>
  <w:footnote w:id="13">
    <w:p w14:paraId="16B15B1D" w14:textId="77777777" w:rsidR="00C270F3" w:rsidRPr="00C44189" w:rsidRDefault="00C270F3"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Constitutional Court Decision 43/2012. (XII. 20.) AB </w:t>
      </w:r>
      <w:proofErr w:type="spellStart"/>
      <w:r w:rsidRPr="00C44189">
        <w:rPr>
          <w:rFonts w:cs="Arial"/>
          <w:szCs w:val="16"/>
        </w:rPr>
        <w:t>határozat</w:t>
      </w:r>
      <w:proofErr w:type="spellEnd"/>
      <w:r w:rsidRPr="00C44189">
        <w:rPr>
          <w:rFonts w:cs="Arial"/>
          <w:szCs w:val="16"/>
        </w:rPr>
        <w:t xml:space="preserve">, </w:t>
      </w:r>
      <w:proofErr w:type="spellStart"/>
      <w:r w:rsidRPr="00C44189">
        <w:rPr>
          <w:rFonts w:cs="Arial"/>
          <w:szCs w:val="16"/>
        </w:rPr>
        <w:t>Indokolás</w:t>
      </w:r>
      <w:proofErr w:type="spellEnd"/>
      <w:r w:rsidRPr="00C44189">
        <w:rPr>
          <w:rFonts w:cs="Arial"/>
          <w:szCs w:val="16"/>
        </w:rPr>
        <w:t xml:space="preserve"> [54]–[60], [63]–[64].</w:t>
      </w:r>
    </w:p>
  </w:footnote>
  <w:footnote w:id="14">
    <w:p w14:paraId="2D012820" w14:textId="77777777" w:rsidR="00C270F3" w:rsidRPr="00C44189" w:rsidRDefault="00C270F3"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Constitutional Court Decision 40/2012. (XII. 6.) AB </w:t>
      </w:r>
      <w:proofErr w:type="spellStart"/>
      <w:r w:rsidRPr="00C44189">
        <w:rPr>
          <w:rFonts w:cs="Arial"/>
          <w:szCs w:val="16"/>
        </w:rPr>
        <w:t>határozat</w:t>
      </w:r>
      <w:proofErr w:type="spellEnd"/>
      <w:r w:rsidRPr="00C44189">
        <w:rPr>
          <w:rFonts w:cs="Arial"/>
          <w:szCs w:val="16"/>
        </w:rPr>
        <w:t xml:space="preserve">, </w:t>
      </w:r>
      <w:proofErr w:type="spellStart"/>
      <w:r w:rsidRPr="00C44189">
        <w:rPr>
          <w:rFonts w:cs="Arial"/>
          <w:szCs w:val="16"/>
        </w:rPr>
        <w:t>Indokolás</w:t>
      </w:r>
      <w:proofErr w:type="spellEnd"/>
      <w:r w:rsidRPr="00C44189">
        <w:rPr>
          <w:rFonts w:cs="Arial"/>
          <w:szCs w:val="16"/>
        </w:rPr>
        <w:t xml:space="preserve"> [24], [29], [34].</w:t>
      </w:r>
    </w:p>
  </w:footnote>
  <w:footnote w:id="15">
    <w:p w14:paraId="206D1D22" w14:textId="77777777" w:rsidR="00C270F3" w:rsidRPr="00C44189" w:rsidRDefault="00C270F3"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Constitutional Court Decision 3062/2012. (VII. 26.) AB </w:t>
      </w:r>
      <w:proofErr w:type="spellStart"/>
      <w:r w:rsidRPr="00C44189">
        <w:rPr>
          <w:rFonts w:cs="Arial"/>
          <w:szCs w:val="16"/>
        </w:rPr>
        <w:t>határozat</w:t>
      </w:r>
      <w:proofErr w:type="spellEnd"/>
      <w:r w:rsidRPr="00C44189">
        <w:rPr>
          <w:rFonts w:cs="Arial"/>
          <w:szCs w:val="16"/>
        </w:rPr>
        <w:t xml:space="preserve">, </w:t>
      </w:r>
      <w:proofErr w:type="spellStart"/>
      <w:r w:rsidRPr="00C44189">
        <w:rPr>
          <w:rFonts w:cs="Arial"/>
          <w:szCs w:val="16"/>
        </w:rPr>
        <w:t>Indokolás</w:t>
      </w:r>
      <w:proofErr w:type="spellEnd"/>
      <w:r w:rsidRPr="00C44189">
        <w:rPr>
          <w:rFonts w:cs="Arial"/>
          <w:szCs w:val="16"/>
        </w:rPr>
        <w:t xml:space="preserve"> [14], [138]–[151]</w:t>
      </w:r>
    </w:p>
  </w:footnote>
  <w:footnote w:id="16">
    <w:p w14:paraId="15035C19" w14:textId="77777777" w:rsidR="00C270F3" w:rsidRPr="00C44189" w:rsidRDefault="00C270F3"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Constitutional Court Decisions 30/2012. (VI. 27.) AB </w:t>
      </w:r>
      <w:proofErr w:type="spellStart"/>
      <w:r w:rsidRPr="00C44189">
        <w:rPr>
          <w:rFonts w:cs="Arial"/>
          <w:szCs w:val="16"/>
        </w:rPr>
        <w:t>határozat</w:t>
      </w:r>
      <w:proofErr w:type="spellEnd"/>
      <w:r w:rsidRPr="00C44189">
        <w:rPr>
          <w:rFonts w:cs="Arial"/>
          <w:szCs w:val="16"/>
        </w:rPr>
        <w:t xml:space="preserve">, </w:t>
      </w:r>
      <w:proofErr w:type="spellStart"/>
      <w:r w:rsidRPr="00C44189">
        <w:rPr>
          <w:rFonts w:cs="Arial"/>
          <w:szCs w:val="16"/>
        </w:rPr>
        <w:t>Indokolás</w:t>
      </w:r>
      <w:proofErr w:type="spellEnd"/>
      <w:r w:rsidRPr="00C44189">
        <w:rPr>
          <w:rFonts w:cs="Arial"/>
          <w:szCs w:val="16"/>
        </w:rPr>
        <w:t xml:space="preserve"> [26], 31/2012. (VI. 27.) AB </w:t>
      </w:r>
      <w:proofErr w:type="spellStart"/>
      <w:r w:rsidRPr="00C44189">
        <w:rPr>
          <w:rFonts w:cs="Arial"/>
          <w:szCs w:val="16"/>
        </w:rPr>
        <w:t>határozat</w:t>
      </w:r>
      <w:proofErr w:type="spellEnd"/>
      <w:r w:rsidRPr="00C44189">
        <w:rPr>
          <w:rFonts w:cs="Arial"/>
          <w:szCs w:val="16"/>
        </w:rPr>
        <w:t xml:space="preserve">, </w:t>
      </w:r>
      <w:proofErr w:type="spellStart"/>
      <w:r w:rsidRPr="00C44189">
        <w:rPr>
          <w:rFonts w:cs="Arial"/>
          <w:szCs w:val="16"/>
        </w:rPr>
        <w:t>Indokolás</w:t>
      </w:r>
      <w:proofErr w:type="spellEnd"/>
      <w:r w:rsidRPr="00C44189">
        <w:rPr>
          <w:rFonts w:cs="Arial"/>
          <w:szCs w:val="16"/>
        </w:rPr>
        <w:t xml:space="preserve"> [25]–[26], 32/2012. (VII. 4.) AB </w:t>
      </w:r>
      <w:proofErr w:type="spellStart"/>
      <w:r w:rsidRPr="00C44189">
        <w:rPr>
          <w:rFonts w:cs="Arial"/>
          <w:szCs w:val="16"/>
        </w:rPr>
        <w:t>határozat</w:t>
      </w:r>
      <w:proofErr w:type="spellEnd"/>
      <w:r w:rsidRPr="00C44189">
        <w:rPr>
          <w:rFonts w:cs="Arial"/>
          <w:szCs w:val="16"/>
        </w:rPr>
        <w:t xml:space="preserve">, </w:t>
      </w:r>
      <w:proofErr w:type="spellStart"/>
      <w:r w:rsidRPr="00C44189">
        <w:rPr>
          <w:rFonts w:cs="Arial"/>
          <w:szCs w:val="16"/>
        </w:rPr>
        <w:t>Indokolás</w:t>
      </w:r>
      <w:proofErr w:type="spellEnd"/>
      <w:r w:rsidRPr="00C44189">
        <w:rPr>
          <w:rFonts w:cs="Arial"/>
          <w:szCs w:val="16"/>
        </w:rPr>
        <w:t xml:space="preserve"> [50], 38/2012. (XI. 14.) AB </w:t>
      </w:r>
      <w:proofErr w:type="spellStart"/>
      <w:r w:rsidRPr="00C44189">
        <w:rPr>
          <w:rFonts w:cs="Arial"/>
          <w:szCs w:val="16"/>
        </w:rPr>
        <w:t>határozat</w:t>
      </w:r>
      <w:proofErr w:type="spellEnd"/>
      <w:r w:rsidRPr="00C44189">
        <w:rPr>
          <w:rFonts w:cs="Arial"/>
          <w:szCs w:val="16"/>
        </w:rPr>
        <w:t xml:space="preserve">, </w:t>
      </w:r>
      <w:proofErr w:type="spellStart"/>
      <w:r w:rsidRPr="00C44189">
        <w:rPr>
          <w:rFonts w:cs="Arial"/>
          <w:szCs w:val="16"/>
        </w:rPr>
        <w:t>Indokolás</w:t>
      </w:r>
      <w:proofErr w:type="spellEnd"/>
      <w:r w:rsidRPr="00C44189">
        <w:rPr>
          <w:rFonts w:cs="Arial"/>
          <w:szCs w:val="16"/>
        </w:rPr>
        <w:t xml:space="preserve"> [54]–[65], [84], 45/2012. (XII. 29.) AB </w:t>
      </w:r>
      <w:proofErr w:type="spellStart"/>
      <w:r w:rsidRPr="00C44189">
        <w:rPr>
          <w:rFonts w:cs="Arial"/>
          <w:szCs w:val="16"/>
        </w:rPr>
        <w:t>határozat</w:t>
      </w:r>
      <w:proofErr w:type="spellEnd"/>
      <w:r w:rsidRPr="00C44189">
        <w:rPr>
          <w:rFonts w:cs="Arial"/>
          <w:szCs w:val="16"/>
        </w:rPr>
        <w:t xml:space="preserve">, </w:t>
      </w:r>
      <w:proofErr w:type="spellStart"/>
      <w:r w:rsidRPr="00C44189">
        <w:rPr>
          <w:rFonts w:cs="Arial"/>
          <w:szCs w:val="16"/>
        </w:rPr>
        <w:t>Indokolás</w:t>
      </w:r>
      <w:proofErr w:type="spellEnd"/>
      <w:r w:rsidRPr="00C44189">
        <w:rPr>
          <w:rFonts w:cs="Arial"/>
          <w:szCs w:val="16"/>
        </w:rPr>
        <w:t xml:space="preserve"> [76], [79], [85], [111], [113].</w:t>
      </w:r>
    </w:p>
  </w:footnote>
  <w:footnote w:id="17">
    <w:p w14:paraId="3CF0EE25" w14:textId="77777777" w:rsidR="00C270F3" w:rsidRPr="00C44189" w:rsidRDefault="00C270F3"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Constitutional Court Decision 25/2012. (V. 18.) AB </w:t>
      </w:r>
      <w:proofErr w:type="spellStart"/>
      <w:r w:rsidRPr="00C44189">
        <w:rPr>
          <w:rFonts w:cs="Arial"/>
          <w:szCs w:val="16"/>
        </w:rPr>
        <w:t>határozat</w:t>
      </w:r>
      <w:proofErr w:type="spellEnd"/>
      <w:r w:rsidRPr="00C44189">
        <w:rPr>
          <w:rFonts w:cs="Arial"/>
          <w:szCs w:val="16"/>
        </w:rPr>
        <w:t xml:space="preserve">, </w:t>
      </w:r>
      <w:proofErr w:type="spellStart"/>
      <w:r w:rsidRPr="00C44189">
        <w:rPr>
          <w:rFonts w:cs="Arial"/>
          <w:szCs w:val="16"/>
        </w:rPr>
        <w:t>Indokolás</w:t>
      </w:r>
      <w:proofErr w:type="spellEnd"/>
      <w:r w:rsidRPr="00C44189">
        <w:rPr>
          <w:rFonts w:cs="Arial"/>
          <w:szCs w:val="16"/>
        </w:rPr>
        <w:t xml:space="preserve"> [4], [37], 3062/2012. (VII. 26.) AB </w:t>
      </w:r>
      <w:proofErr w:type="spellStart"/>
      <w:r w:rsidRPr="00C44189">
        <w:rPr>
          <w:rFonts w:cs="Arial"/>
          <w:szCs w:val="16"/>
        </w:rPr>
        <w:t>határozat</w:t>
      </w:r>
      <w:proofErr w:type="spellEnd"/>
      <w:r w:rsidRPr="00C44189">
        <w:rPr>
          <w:rFonts w:cs="Arial"/>
          <w:szCs w:val="16"/>
        </w:rPr>
        <w:t xml:space="preserve">, </w:t>
      </w:r>
      <w:proofErr w:type="spellStart"/>
      <w:r w:rsidRPr="00C44189">
        <w:rPr>
          <w:rFonts w:cs="Arial"/>
          <w:szCs w:val="16"/>
        </w:rPr>
        <w:t>Indokolás</w:t>
      </w:r>
      <w:proofErr w:type="spellEnd"/>
      <w:r w:rsidRPr="00C44189">
        <w:rPr>
          <w:rFonts w:cs="Arial"/>
          <w:szCs w:val="16"/>
        </w:rPr>
        <w:t xml:space="preserve"> [12], [113]–[119], [136], [162].</w:t>
      </w:r>
    </w:p>
  </w:footnote>
  <w:footnote w:id="18">
    <w:p w14:paraId="01ECCABA" w14:textId="77777777" w:rsidR="00C270F3" w:rsidRPr="00C44189" w:rsidRDefault="00C270F3"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Constitutional Court Decisions 32/2012. (VII. 4.) AB </w:t>
      </w:r>
      <w:proofErr w:type="spellStart"/>
      <w:r w:rsidRPr="00C44189">
        <w:rPr>
          <w:rFonts w:cs="Arial"/>
          <w:szCs w:val="16"/>
        </w:rPr>
        <w:t>határozat</w:t>
      </w:r>
      <w:proofErr w:type="spellEnd"/>
      <w:r w:rsidRPr="00C44189">
        <w:rPr>
          <w:rFonts w:cs="Arial"/>
          <w:szCs w:val="16"/>
        </w:rPr>
        <w:t xml:space="preserve">, </w:t>
      </w:r>
      <w:proofErr w:type="spellStart"/>
      <w:r w:rsidRPr="00C44189">
        <w:rPr>
          <w:rFonts w:cs="Arial"/>
          <w:szCs w:val="16"/>
        </w:rPr>
        <w:t>Indokolás</w:t>
      </w:r>
      <w:proofErr w:type="spellEnd"/>
      <w:r w:rsidRPr="00C44189">
        <w:rPr>
          <w:rFonts w:cs="Arial"/>
          <w:szCs w:val="16"/>
        </w:rPr>
        <w:t xml:space="preserve"> [51], 3062/2012. (VII. 26.) AB </w:t>
      </w:r>
      <w:proofErr w:type="spellStart"/>
      <w:r w:rsidRPr="00C44189">
        <w:rPr>
          <w:rFonts w:cs="Arial"/>
          <w:szCs w:val="16"/>
        </w:rPr>
        <w:t>határozat</w:t>
      </w:r>
      <w:proofErr w:type="spellEnd"/>
      <w:r w:rsidRPr="00C44189">
        <w:rPr>
          <w:rFonts w:cs="Arial"/>
          <w:szCs w:val="16"/>
        </w:rPr>
        <w:t xml:space="preserve">, </w:t>
      </w:r>
      <w:proofErr w:type="spellStart"/>
      <w:r w:rsidRPr="00C44189">
        <w:rPr>
          <w:rFonts w:cs="Arial"/>
          <w:szCs w:val="16"/>
        </w:rPr>
        <w:t>Indokolás</w:t>
      </w:r>
      <w:proofErr w:type="spellEnd"/>
      <w:r w:rsidRPr="00C44189">
        <w:rPr>
          <w:rFonts w:cs="Arial"/>
          <w:szCs w:val="16"/>
        </w:rPr>
        <w:t xml:space="preserve"> [88]– [91], 3353/2012. (XII. 5.) AB </w:t>
      </w:r>
      <w:proofErr w:type="spellStart"/>
      <w:r w:rsidRPr="00C44189">
        <w:rPr>
          <w:rFonts w:cs="Arial"/>
          <w:szCs w:val="16"/>
        </w:rPr>
        <w:t>határozat</w:t>
      </w:r>
      <w:proofErr w:type="spellEnd"/>
      <w:r w:rsidRPr="00C44189">
        <w:rPr>
          <w:rFonts w:cs="Arial"/>
          <w:szCs w:val="16"/>
        </w:rPr>
        <w:t xml:space="preserve">, </w:t>
      </w:r>
      <w:proofErr w:type="spellStart"/>
      <w:r w:rsidRPr="00C44189">
        <w:rPr>
          <w:rFonts w:cs="Arial"/>
          <w:szCs w:val="16"/>
        </w:rPr>
        <w:t>Indokolás</w:t>
      </w:r>
      <w:proofErr w:type="spellEnd"/>
      <w:r w:rsidRPr="00C44189">
        <w:rPr>
          <w:rFonts w:cs="Arial"/>
          <w:szCs w:val="16"/>
        </w:rPr>
        <w:t xml:space="preserve"> [48], [51], [68], 40/2012. (XII. 6.) AB </w:t>
      </w:r>
      <w:proofErr w:type="spellStart"/>
      <w:r w:rsidRPr="00C44189">
        <w:rPr>
          <w:rFonts w:cs="Arial"/>
          <w:szCs w:val="16"/>
        </w:rPr>
        <w:t>határozat</w:t>
      </w:r>
      <w:proofErr w:type="spellEnd"/>
      <w:r w:rsidRPr="00C44189">
        <w:rPr>
          <w:rFonts w:cs="Arial"/>
          <w:szCs w:val="16"/>
        </w:rPr>
        <w:t xml:space="preserve">, </w:t>
      </w:r>
      <w:proofErr w:type="spellStart"/>
      <w:r w:rsidRPr="00C44189">
        <w:rPr>
          <w:rFonts w:cs="Arial"/>
          <w:szCs w:val="16"/>
        </w:rPr>
        <w:t>Indokolás</w:t>
      </w:r>
      <w:proofErr w:type="spellEnd"/>
      <w:r w:rsidRPr="00C44189">
        <w:rPr>
          <w:rFonts w:cs="Arial"/>
          <w:szCs w:val="16"/>
        </w:rPr>
        <w:t xml:space="preserve"> [33].</w:t>
      </w:r>
    </w:p>
  </w:footnote>
  <w:footnote w:id="19">
    <w:p w14:paraId="7429E768" w14:textId="77777777" w:rsidR="00C270F3" w:rsidRPr="00C44189" w:rsidRDefault="00C270F3"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Constitutional Court Decision 33/2012. (VII. 17.) AB </w:t>
      </w:r>
      <w:proofErr w:type="spellStart"/>
      <w:r w:rsidRPr="00C44189">
        <w:rPr>
          <w:rFonts w:cs="Arial"/>
          <w:szCs w:val="16"/>
        </w:rPr>
        <w:t>határozat</w:t>
      </w:r>
      <w:proofErr w:type="spellEnd"/>
    </w:p>
  </w:footnote>
  <w:footnote w:id="20">
    <w:p w14:paraId="069F7693" w14:textId="77777777" w:rsidR="00C270F3" w:rsidRPr="00C44189" w:rsidRDefault="00C270F3"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Constitutional Court Decision 1/2013 (I. 7.) AB </w:t>
      </w:r>
      <w:proofErr w:type="spellStart"/>
      <w:r w:rsidRPr="00C44189">
        <w:rPr>
          <w:rFonts w:cs="Arial"/>
          <w:szCs w:val="16"/>
        </w:rPr>
        <w:t>határozat</w:t>
      </w:r>
      <w:proofErr w:type="spellEnd"/>
    </w:p>
  </w:footnote>
  <w:footnote w:id="21">
    <w:p w14:paraId="2A18188B" w14:textId="1CA576DE" w:rsidR="000E422E" w:rsidRPr="00C44189" w:rsidRDefault="000E422E"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303C75" w:rsidRPr="00C44189">
        <w:rPr>
          <w:rFonts w:cs="Arial"/>
          <w:szCs w:val="16"/>
        </w:rPr>
        <w:t xml:space="preserve">International IDEA, ELECTORAL SYSTEM FOR NATIONAL LEGISLATURE – HUNGARY, available at: </w:t>
      </w:r>
      <w:hyperlink r:id="rId10" w:history="1">
        <w:r w:rsidR="00303C75" w:rsidRPr="00C44189">
          <w:rPr>
            <w:rStyle w:val="Collegamentoipertestuale"/>
            <w:rFonts w:cs="Arial"/>
            <w:szCs w:val="16"/>
          </w:rPr>
          <w:t>https://www.idea.int/answer/ans1303551903424613</w:t>
        </w:r>
      </w:hyperlink>
      <w:r w:rsidR="00303C75" w:rsidRPr="00C44189">
        <w:rPr>
          <w:rFonts w:cs="Arial"/>
          <w:szCs w:val="16"/>
        </w:rPr>
        <w:t xml:space="preserve"> </w:t>
      </w:r>
    </w:p>
  </w:footnote>
  <w:footnote w:id="22">
    <w:p w14:paraId="71F3E37C" w14:textId="16ADFC4A" w:rsidR="00F92ED2" w:rsidRPr="00C44189" w:rsidRDefault="00F92ED2"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9E0CDA" w:rsidRPr="00C44189">
        <w:rPr>
          <w:rFonts w:cs="Arial"/>
          <w:szCs w:val="16"/>
        </w:rPr>
        <w:t xml:space="preserve">Washington Post, Kim Lane </w:t>
      </w:r>
      <w:proofErr w:type="spellStart"/>
      <w:r w:rsidR="009E0CDA" w:rsidRPr="00C44189">
        <w:rPr>
          <w:rFonts w:cs="Arial"/>
          <w:szCs w:val="16"/>
        </w:rPr>
        <w:t>Scheppele</w:t>
      </w:r>
      <w:proofErr w:type="spellEnd"/>
      <w:r w:rsidR="009E0CDA" w:rsidRPr="00C44189">
        <w:rPr>
          <w:rFonts w:cs="Arial"/>
          <w:szCs w:val="16"/>
        </w:rPr>
        <w:t xml:space="preserve">, In Hungary, </w:t>
      </w:r>
      <w:proofErr w:type="spellStart"/>
      <w:r w:rsidR="009E0CDA" w:rsidRPr="00C44189">
        <w:rPr>
          <w:rFonts w:cs="Arial"/>
          <w:szCs w:val="16"/>
        </w:rPr>
        <w:t>Orban</w:t>
      </w:r>
      <w:proofErr w:type="spellEnd"/>
      <w:r w:rsidR="009E0CDA" w:rsidRPr="00C44189">
        <w:rPr>
          <w:rFonts w:cs="Arial"/>
          <w:szCs w:val="16"/>
        </w:rPr>
        <w:t xml:space="preserve"> wins again — because he has rigged the system, 7 April 2022, available at: </w:t>
      </w:r>
      <w:hyperlink r:id="rId11" w:history="1">
        <w:r w:rsidR="009E0CDA" w:rsidRPr="00C44189">
          <w:rPr>
            <w:rStyle w:val="Collegamentoipertestuale"/>
            <w:rFonts w:cs="Arial"/>
            <w:szCs w:val="16"/>
          </w:rPr>
          <w:t>https://www.washingtonpost.com/politics/2022/04/06/orban-fidesz-autocratic-hungary-illiberal-democracy/</w:t>
        </w:r>
      </w:hyperlink>
      <w:r w:rsidR="009E0CDA" w:rsidRPr="00C44189">
        <w:rPr>
          <w:rFonts w:cs="Arial"/>
          <w:szCs w:val="16"/>
        </w:rPr>
        <w:t xml:space="preserve"> </w:t>
      </w:r>
    </w:p>
  </w:footnote>
  <w:footnote w:id="23">
    <w:p w14:paraId="07746A5C" w14:textId="46FB5DFB" w:rsidR="007220E7" w:rsidRPr="00C44189" w:rsidRDefault="007220E7"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proofErr w:type="spellStart"/>
      <w:r w:rsidR="0051247E" w:rsidRPr="00C44189">
        <w:rPr>
          <w:rFonts w:cs="Arial"/>
          <w:szCs w:val="16"/>
        </w:rPr>
        <w:t>Euractive</w:t>
      </w:r>
      <w:proofErr w:type="spellEnd"/>
      <w:r w:rsidR="0051247E" w:rsidRPr="00C44189">
        <w:rPr>
          <w:rFonts w:cs="Arial"/>
          <w:szCs w:val="16"/>
        </w:rPr>
        <w:t xml:space="preserve">, ‘Voter tourism’: New Hungarian residency law raises risk of electorate manipulation, NGOs warn, 17 November 2021, available at: </w:t>
      </w:r>
      <w:hyperlink r:id="rId12" w:history="1">
        <w:r w:rsidR="0051247E" w:rsidRPr="00C44189">
          <w:rPr>
            <w:rStyle w:val="Collegamentoipertestuale"/>
            <w:rFonts w:cs="Arial"/>
            <w:szCs w:val="16"/>
          </w:rPr>
          <w:t>https://www.euractiv.com/section/elections/news/voter-tourism-new-hungarian-residency-law-raises-risk-of-electorate-manipulation-ngos-warn/</w:t>
        </w:r>
      </w:hyperlink>
      <w:r w:rsidR="0051247E" w:rsidRPr="00C44189">
        <w:rPr>
          <w:rFonts w:cs="Arial"/>
          <w:szCs w:val="16"/>
        </w:rPr>
        <w:t xml:space="preserve"> </w:t>
      </w:r>
    </w:p>
  </w:footnote>
  <w:footnote w:id="24">
    <w:p w14:paraId="2AC0F3AF" w14:textId="77777777" w:rsidR="00765831" w:rsidRPr="00C44189" w:rsidRDefault="0076583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Submission by Amnesty International Hungary, the Eötvös </w:t>
      </w:r>
      <w:proofErr w:type="spellStart"/>
      <w:r w:rsidRPr="00C44189">
        <w:rPr>
          <w:rFonts w:cs="Arial"/>
          <w:szCs w:val="16"/>
        </w:rPr>
        <w:t>Károly</w:t>
      </w:r>
      <w:proofErr w:type="spellEnd"/>
      <w:r w:rsidRPr="00C44189">
        <w:rPr>
          <w:rFonts w:cs="Arial"/>
          <w:szCs w:val="16"/>
        </w:rPr>
        <w:t xml:space="preserve"> Institute, and the Hungarian Helsinki Committee for the third cycle of the Universal Periodic Review of Hungary, 25 March 2021, available at: https://helsinki.hu/wp-content/uploads/2021/03/AIHU_EKINT_HHC_UPR2021_Hungary_RoL_web.pdf, pp. </w:t>
      </w:r>
      <w:proofErr w:type="gramStart"/>
      <w:r w:rsidRPr="00C44189">
        <w:rPr>
          <w:rFonts w:cs="Arial"/>
          <w:szCs w:val="16"/>
        </w:rPr>
        <w:t>13-15;</w:t>
      </w:r>
      <w:proofErr w:type="gramEnd"/>
    </w:p>
    <w:p w14:paraId="475155D8" w14:textId="77777777" w:rsidR="00765831" w:rsidRPr="0055056D" w:rsidRDefault="00765831" w:rsidP="00AA1605">
      <w:pPr>
        <w:pStyle w:val="Testonotaapidipagina"/>
        <w:jc w:val="both"/>
        <w:rPr>
          <w:rFonts w:cs="Arial"/>
          <w:szCs w:val="16"/>
          <w:lang w:val="en-US"/>
        </w:rPr>
      </w:pPr>
      <w:r w:rsidRPr="00C44189">
        <w:rPr>
          <w:rFonts w:cs="Arial"/>
          <w:szCs w:val="16"/>
        </w:rPr>
        <w:t>Statement of the Hungarian Helsinki Committee made during the OSCE SHDM II 2021 on Democratic Law-Making: Ensuring Participation, 26 April 2021, available at: https://helsinki.hu/en/wp-content/uploads/sites/2/2021/04/OSCESHDM-II-2021_HungarianHelsinkiCommittee.pdf.</w:t>
      </w:r>
    </w:p>
  </w:footnote>
  <w:footnote w:id="25">
    <w:p w14:paraId="16570E12" w14:textId="77777777" w:rsidR="00765831" w:rsidRPr="00C44189" w:rsidRDefault="0076583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Commission Staff Working Document, 2022 Rule of Law Report, Country Chapter on the rule of law situation in Hungary, p 24 available at: </w:t>
      </w:r>
      <w:hyperlink r:id="rId13" w:history="1">
        <w:r w:rsidRPr="00C44189">
          <w:rPr>
            <w:rStyle w:val="Collegamentoipertestuale"/>
            <w:rFonts w:cs="Arial"/>
            <w:szCs w:val="16"/>
          </w:rPr>
          <w:t>https://commission.europa.eu/system/files/2022-07/40_1_193993_coun_chap_hungary_en.pdf</w:t>
        </w:r>
      </w:hyperlink>
      <w:r w:rsidRPr="00C44189">
        <w:rPr>
          <w:rFonts w:cs="Arial"/>
          <w:szCs w:val="16"/>
        </w:rPr>
        <w:t xml:space="preserve"> </w:t>
      </w:r>
    </w:p>
  </w:footnote>
  <w:footnote w:id="26">
    <w:p w14:paraId="24C390C6" w14:textId="77777777" w:rsidR="00765831" w:rsidRPr="00C44189" w:rsidRDefault="0076583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Contributions of Hungarian CSOs to the European Commission’s Rule of Law Report, January 2023, p 56 available at: </w:t>
      </w:r>
      <w:hyperlink r:id="rId14" w:history="1">
        <w:r w:rsidRPr="00C44189">
          <w:rPr>
            <w:rStyle w:val="Collegamentoipertestuale"/>
            <w:rFonts w:cs="Arial"/>
            <w:szCs w:val="16"/>
          </w:rPr>
          <w:t>https://helsinki.hu/en/wp-content/uploads/sites/2/2023/01/HUN_CSO_contribution_EC_RoL_Report_2023.pdf</w:t>
        </w:r>
      </w:hyperlink>
      <w:r w:rsidRPr="00C44189">
        <w:rPr>
          <w:rFonts w:cs="Arial"/>
          <w:szCs w:val="16"/>
        </w:rPr>
        <w:t xml:space="preserve"> </w:t>
      </w:r>
    </w:p>
  </w:footnote>
  <w:footnote w:id="27">
    <w:p w14:paraId="7D95B34C" w14:textId="77777777" w:rsidR="00765831" w:rsidRPr="0055056D" w:rsidRDefault="00765831"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Contributions of Hungarian CSOs to the European Commission’s Rule of Law Report, January 2023, p 56 available at: </w:t>
      </w:r>
      <w:hyperlink r:id="rId15" w:history="1">
        <w:r w:rsidRPr="00C44189">
          <w:rPr>
            <w:rStyle w:val="Collegamentoipertestuale"/>
            <w:rFonts w:cs="Arial"/>
            <w:szCs w:val="16"/>
          </w:rPr>
          <w:t>https://helsinki.hu/en/wp-content/uploads/sites/2/2023/01/HUN_CSO_contribution_EC_RoL_Report_2023.pdf</w:t>
        </w:r>
      </w:hyperlink>
    </w:p>
  </w:footnote>
  <w:footnote w:id="28">
    <w:p w14:paraId="3056A17E" w14:textId="77777777" w:rsidR="00F05003" w:rsidRPr="00C44189" w:rsidRDefault="00F05003"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GOVERNMENT OF HUNGARY No T/25. Proposal Tenth Amendment to the Fundamental Law of Hungary (</w:t>
      </w:r>
      <w:r w:rsidRPr="00C44189">
        <w:rPr>
          <w:rFonts w:cs="Arial"/>
          <w:i/>
          <w:iCs/>
          <w:szCs w:val="16"/>
        </w:rPr>
        <w:t xml:space="preserve">MAGYARORSZÁG KORMÁNYA T/25. </w:t>
      </w:r>
      <w:proofErr w:type="spellStart"/>
      <w:r w:rsidRPr="00C44189">
        <w:rPr>
          <w:rFonts w:cs="Arial"/>
          <w:i/>
          <w:iCs/>
          <w:szCs w:val="16"/>
        </w:rPr>
        <w:t>Számú</w:t>
      </w:r>
      <w:proofErr w:type="spellEnd"/>
      <w:r w:rsidRPr="00C44189">
        <w:rPr>
          <w:rFonts w:cs="Arial"/>
          <w:i/>
          <w:iCs/>
          <w:szCs w:val="16"/>
        </w:rPr>
        <w:t xml:space="preserve"> </w:t>
      </w:r>
      <w:proofErr w:type="spellStart"/>
      <w:r w:rsidRPr="00C44189">
        <w:rPr>
          <w:rFonts w:cs="Arial"/>
          <w:i/>
          <w:iCs/>
          <w:szCs w:val="16"/>
        </w:rPr>
        <w:t>javaslat</w:t>
      </w:r>
      <w:proofErr w:type="spellEnd"/>
      <w:r w:rsidRPr="00C44189">
        <w:rPr>
          <w:rFonts w:cs="Arial"/>
          <w:i/>
          <w:iCs/>
          <w:szCs w:val="16"/>
        </w:rPr>
        <w:t xml:space="preserve"> </w:t>
      </w:r>
      <w:proofErr w:type="spellStart"/>
      <w:r w:rsidRPr="00C44189">
        <w:rPr>
          <w:rFonts w:cs="Arial"/>
          <w:i/>
          <w:iCs/>
          <w:szCs w:val="16"/>
        </w:rPr>
        <w:t>Magyarország</w:t>
      </w:r>
      <w:proofErr w:type="spellEnd"/>
      <w:r w:rsidRPr="00C44189">
        <w:rPr>
          <w:rFonts w:cs="Arial"/>
          <w:i/>
          <w:iCs/>
          <w:szCs w:val="16"/>
        </w:rPr>
        <w:t xml:space="preserve"> </w:t>
      </w:r>
      <w:proofErr w:type="spellStart"/>
      <w:r w:rsidRPr="00C44189">
        <w:rPr>
          <w:rFonts w:cs="Arial"/>
          <w:i/>
          <w:iCs/>
          <w:szCs w:val="16"/>
        </w:rPr>
        <w:t>Alaptörvényének</w:t>
      </w:r>
      <w:proofErr w:type="spellEnd"/>
      <w:r w:rsidRPr="00C44189">
        <w:rPr>
          <w:rFonts w:cs="Arial"/>
          <w:i/>
          <w:iCs/>
          <w:szCs w:val="16"/>
        </w:rPr>
        <w:t xml:space="preserve"> </w:t>
      </w:r>
      <w:proofErr w:type="spellStart"/>
      <w:r w:rsidRPr="00C44189">
        <w:rPr>
          <w:rFonts w:cs="Arial"/>
          <w:i/>
          <w:iCs/>
          <w:szCs w:val="16"/>
        </w:rPr>
        <w:t>tizedik</w:t>
      </w:r>
      <w:proofErr w:type="spellEnd"/>
      <w:r w:rsidRPr="00C44189">
        <w:rPr>
          <w:rFonts w:cs="Arial"/>
          <w:i/>
          <w:iCs/>
          <w:szCs w:val="16"/>
        </w:rPr>
        <w:t xml:space="preserve"> </w:t>
      </w:r>
      <w:proofErr w:type="spellStart"/>
      <w:r w:rsidRPr="00C44189">
        <w:rPr>
          <w:rFonts w:cs="Arial"/>
          <w:i/>
          <w:iCs/>
          <w:szCs w:val="16"/>
        </w:rPr>
        <w:t>módosítása</w:t>
      </w:r>
      <w:proofErr w:type="spellEnd"/>
      <w:r w:rsidRPr="00C44189">
        <w:rPr>
          <w:rFonts w:cs="Arial"/>
          <w:szCs w:val="16"/>
        </w:rPr>
        <w:t xml:space="preserve">) available at: </w:t>
      </w:r>
      <w:hyperlink r:id="rId16" w:history="1">
        <w:r w:rsidRPr="00C44189">
          <w:rPr>
            <w:rStyle w:val="Collegamentoipertestuale"/>
            <w:rFonts w:cs="Arial"/>
            <w:szCs w:val="16"/>
          </w:rPr>
          <w:t>https://www.parlament.hu/irom42/00025/00025.pdf</w:t>
        </w:r>
      </w:hyperlink>
      <w:r w:rsidRPr="00C44189">
        <w:rPr>
          <w:rFonts w:cs="Arial"/>
          <w:szCs w:val="16"/>
        </w:rPr>
        <w:t xml:space="preserve"> </w:t>
      </w:r>
    </w:p>
  </w:footnote>
  <w:footnote w:id="29">
    <w:p w14:paraId="209E23CE" w14:textId="496BC377" w:rsidR="00351917" w:rsidRPr="00C44189" w:rsidRDefault="00351917"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D60334" w:rsidRPr="00C44189">
        <w:rPr>
          <w:rFonts w:cs="Arial"/>
          <w:szCs w:val="16"/>
        </w:rPr>
        <w:t xml:space="preserve">Judgment of the Court (Grand Chamber) of 17 December 2020, European Commission v Hungary, available at: </w:t>
      </w:r>
      <w:hyperlink r:id="rId17" w:history="1">
        <w:r w:rsidR="006635AD" w:rsidRPr="00C44189">
          <w:rPr>
            <w:rStyle w:val="Collegamentoipertestuale"/>
            <w:rFonts w:cs="Arial"/>
            <w:szCs w:val="16"/>
          </w:rPr>
          <w:t>https://curia.europa.eu/juris/liste.jsf?num=C-808/18</w:t>
        </w:r>
      </w:hyperlink>
      <w:r w:rsidR="006635AD" w:rsidRPr="00C44189">
        <w:rPr>
          <w:rFonts w:cs="Arial"/>
          <w:szCs w:val="16"/>
        </w:rPr>
        <w:t xml:space="preserve"> </w:t>
      </w:r>
    </w:p>
  </w:footnote>
  <w:footnote w:id="30">
    <w:p w14:paraId="220BF4A2" w14:textId="232492B9" w:rsidR="00EE4C88" w:rsidRPr="00C44189" w:rsidRDefault="00EE4C88"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8376EB" w:rsidRPr="00C44189">
        <w:rPr>
          <w:rFonts w:cs="Arial"/>
          <w:szCs w:val="16"/>
        </w:rPr>
        <w:t xml:space="preserve">Commission Staff Working Document, 2022 Rule of Law Report, Country Chapter on the rule of law situation in Hungary, p 28 available at: </w:t>
      </w:r>
      <w:hyperlink r:id="rId18" w:history="1">
        <w:r w:rsidR="008376EB" w:rsidRPr="00C44189">
          <w:rPr>
            <w:rStyle w:val="Collegamentoipertestuale"/>
            <w:rFonts w:cs="Arial"/>
            <w:szCs w:val="16"/>
          </w:rPr>
          <w:t>https://commission.europa.eu/system/files/2022-07/40_1_193993_coun_chap_hungary_en.pdf</w:t>
        </w:r>
      </w:hyperlink>
    </w:p>
  </w:footnote>
  <w:footnote w:id="31">
    <w:p w14:paraId="4E2C50E5" w14:textId="5CA7856F" w:rsidR="003A21C1" w:rsidRPr="00C44189" w:rsidRDefault="003A21C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proofErr w:type="spellStart"/>
      <w:r w:rsidR="00A56C75" w:rsidRPr="00C44189">
        <w:rPr>
          <w:rFonts w:cs="Arial"/>
          <w:szCs w:val="16"/>
        </w:rPr>
        <w:t>InfoCuria</w:t>
      </w:r>
      <w:proofErr w:type="spellEnd"/>
      <w:r w:rsidR="00A56C75" w:rsidRPr="00C44189">
        <w:rPr>
          <w:rFonts w:cs="Arial"/>
          <w:szCs w:val="16"/>
        </w:rPr>
        <w:t xml:space="preserve">, Case Law, Action brought on 21 February 2022 – European Commission v Hungary (Case C-123/22), available at: </w:t>
      </w:r>
      <w:hyperlink r:id="rId19" w:history="1">
        <w:r w:rsidR="00E12419" w:rsidRPr="00C44189">
          <w:rPr>
            <w:rStyle w:val="Collegamentoipertestuale"/>
            <w:rFonts w:cs="Arial"/>
            <w:szCs w:val="16"/>
          </w:rPr>
          <w:t>https://curia.europa.eu/juris/document/document.jsf?text=&amp;docid=272148&amp;pageIndex=0&amp;doclang=EN&amp;mode=lst&amp;dir=&amp;occ=first&amp;part=1&amp;cid=2439749</w:t>
        </w:r>
      </w:hyperlink>
      <w:r w:rsidR="00E12419" w:rsidRPr="00C44189">
        <w:rPr>
          <w:rFonts w:cs="Arial"/>
          <w:szCs w:val="16"/>
        </w:rPr>
        <w:t xml:space="preserve"> </w:t>
      </w:r>
    </w:p>
  </w:footnote>
  <w:footnote w:id="32">
    <w:p w14:paraId="64DD4101" w14:textId="7997E4E6" w:rsidR="008208BD" w:rsidRPr="00C44189" w:rsidRDefault="008208BD"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proofErr w:type="spellStart"/>
      <w:r w:rsidR="00D50D64" w:rsidRPr="00C44189">
        <w:rPr>
          <w:rFonts w:cs="Arial"/>
          <w:szCs w:val="16"/>
        </w:rPr>
        <w:t>Háttér</w:t>
      </w:r>
      <w:proofErr w:type="spellEnd"/>
      <w:r w:rsidR="00D50D64" w:rsidRPr="00C44189">
        <w:rPr>
          <w:rFonts w:cs="Arial"/>
          <w:szCs w:val="16"/>
        </w:rPr>
        <w:t xml:space="preserve"> </w:t>
      </w:r>
      <w:r w:rsidR="00C31430" w:rsidRPr="00C44189">
        <w:rPr>
          <w:rFonts w:cs="Arial"/>
          <w:szCs w:val="16"/>
        </w:rPr>
        <w:t>Gay Legal Aid Service (</w:t>
      </w:r>
      <w:r w:rsidR="00D1494C" w:rsidRPr="00C44189">
        <w:rPr>
          <w:rFonts w:cs="Arial"/>
          <w:i/>
          <w:iCs/>
          <w:szCs w:val="16"/>
        </w:rPr>
        <w:t xml:space="preserve">A </w:t>
      </w:r>
      <w:proofErr w:type="spellStart"/>
      <w:r w:rsidR="00D1494C" w:rsidRPr="00C44189">
        <w:rPr>
          <w:rFonts w:cs="Arial"/>
          <w:i/>
          <w:iCs/>
          <w:szCs w:val="16"/>
        </w:rPr>
        <w:t>Háttér</w:t>
      </w:r>
      <w:proofErr w:type="spellEnd"/>
      <w:r w:rsidR="00D1494C" w:rsidRPr="00C44189">
        <w:rPr>
          <w:rFonts w:cs="Arial"/>
          <w:i/>
          <w:iCs/>
          <w:szCs w:val="16"/>
        </w:rPr>
        <w:t xml:space="preserve"> </w:t>
      </w:r>
      <w:proofErr w:type="spellStart"/>
      <w:r w:rsidR="00D1494C" w:rsidRPr="00C44189">
        <w:rPr>
          <w:rFonts w:cs="Arial"/>
          <w:i/>
          <w:iCs/>
          <w:szCs w:val="16"/>
        </w:rPr>
        <w:t>Meleg</w:t>
      </w:r>
      <w:proofErr w:type="spellEnd"/>
      <w:r w:rsidR="00D1494C" w:rsidRPr="00C44189">
        <w:rPr>
          <w:rFonts w:cs="Arial"/>
          <w:i/>
          <w:iCs/>
          <w:szCs w:val="16"/>
        </w:rPr>
        <w:t xml:space="preserve"> </w:t>
      </w:r>
      <w:proofErr w:type="spellStart"/>
      <w:r w:rsidR="00D1494C" w:rsidRPr="00C44189">
        <w:rPr>
          <w:rFonts w:cs="Arial"/>
          <w:i/>
          <w:iCs/>
          <w:szCs w:val="16"/>
        </w:rPr>
        <w:t>Jogsegély</w:t>
      </w:r>
      <w:proofErr w:type="spellEnd"/>
      <w:r w:rsidR="00D1494C" w:rsidRPr="00C44189">
        <w:rPr>
          <w:rFonts w:cs="Arial"/>
          <w:i/>
          <w:iCs/>
          <w:szCs w:val="16"/>
        </w:rPr>
        <w:t xml:space="preserve"> </w:t>
      </w:r>
      <w:proofErr w:type="spellStart"/>
      <w:r w:rsidR="00D1494C" w:rsidRPr="00C44189">
        <w:rPr>
          <w:rFonts w:cs="Arial"/>
          <w:i/>
          <w:iCs/>
          <w:szCs w:val="16"/>
        </w:rPr>
        <w:t>Szolgálata</w:t>
      </w:r>
      <w:proofErr w:type="spellEnd"/>
      <w:r w:rsidR="00C31430" w:rsidRPr="00C44189">
        <w:rPr>
          <w:rFonts w:cs="Arial"/>
          <w:szCs w:val="16"/>
        </w:rPr>
        <w:t>)</w:t>
      </w:r>
      <w:r w:rsidR="00DA1471" w:rsidRPr="00C44189">
        <w:rPr>
          <w:rFonts w:cs="Arial"/>
          <w:szCs w:val="16"/>
        </w:rPr>
        <w:t xml:space="preserve"> p 52 available at: </w:t>
      </w:r>
      <w:hyperlink r:id="rId20" w:history="1">
        <w:r w:rsidR="00DA1471" w:rsidRPr="00C44189">
          <w:rPr>
            <w:rStyle w:val="Collegamentoipertestuale"/>
            <w:rFonts w:cs="Arial"/>
            <w:szCs w:val="16"/>
          </w:rPr>
          <w:t>https://www.icj.org/wp-content/uploads/2002/03/Hatter-v.-Pepsi-Sziget-Budapest-2nd-and-3rd-District-Court-of-Justice-Hungary-Hungarian.pdf</w:t>
        </w:r>
      </w:hyperlink>
      <w:r w:rsidR="00DA1471" w:rsidRPr="00C44189">
        <w:rPr>
          <w:rFonts w:cs="Arial"/>
          <w:szCs w:val="16"/>
        </w:rPr>
        <w:t xml:space="preserve"> </w:t>
      </w:r>
    </w:p>
  </w:footnote>
  <w:footnote w:id="33">
    <w:p w14:paraId="13431D8F" w14:textId="77777777" w:rsidR="00166538" w:rsidRPr="00C44189" w:rsidRDefault="00166538"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Articles 26 - 31 of Law CLI on the Constitutional Court, available at: </w:t>
      </w:r>
      <w:hyperlink r:id="rId21" w:history="1">
        <w:r w:rsidRPr="00C44189">
          <w:rPr>
            <w:rStyle w:val="Collegamentoipertestuale"/>
            <w:rFonts w:cs="Arial"/>
            <w:szCs w:val="16"/>
          </w:rPr>
          <w:t>https://net.jogtar.hu/jogszabaly?docid=a1100151.tv</w:t>
        </w:r>
      </w:hyperlink>
      <w:r w:rsidRPr="00C44189">
        <w:rPr>
          <w:rFonts w:cs="Arial"/>
          <w:szCs w:val="16"/>
        </w:rPr>
        <w:t xml:space="preserve"> </w:t>
      </w:r>
    </w:p>
  </w:footnote>
  <w:footnote w:id="34">
    <w:p w14:paraId="10D1ACD3" w14:textId="77777777" w:rsidR="00166538" w:rsidRPr="00C44189" w:rsidRDefault="00166538"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Commission Staff Working Document, 2022 Rule of Law Report, Country Chapter on the rule of law situation in Hungary, p 25 available at: </w:t>
      </w:r>
      <w:hyperlink r:id="rId22" w:history="1">
        <w:r w:rsidRPr="00C44189">
          <w:rPr>
            <w:rStyle w:val="Collegamentoipertestuale"/>
            <w:rFonts w:cs="Arial"/>
            <w:szCs w:val="16"/>
          </w:rPr>
          <w:t>https://commission.europa.eu/system/files/2022-07/40_1_193993_coun_chap_hungary_en.pdf</w:t>
        </w:r>
      </w:hyperlink>
      <w:r w:rsidRPr="00C44189">
        <w:rPr>
          <w:rFonts w:cs="Arial"/>
          <w:szCs w:val="16"/>
        </w:rPr>
        <w:t xml:space="preserve"> </w:t>
      </w:r>
    </w:p>
  </w:footnote>
  <w:footnote w:id="35">
    <w:p w14:paraId="00B7612D" w14:textId="77777777" w:rsidR="00BC1A6F" w:rsidRPr="00C44189" w:rsidRDefault="00BC1A6F" w:rsidP="00BC1A6F">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Hungarian Helsinki Committee (2021), </w:t>
      </w:r>
      <w:r w:rsidRPr="002E46D9">
        <w:rPr>
          <w:rFonts w:cs="Arial"/>
          <w:szCs w:val="16"/>
        </w:rPr>
        <w:t>Shadow report to the GANHRI Sub-Committee on Accreditation on the activities and independence of the Commissioner for Fundamental Rights of Hungary in light of the requirements set for national human rights institutions</w:t>
      </w:r>
      <w:r w:rsidRPr="00C44189">
        <w:rPr>
          <w:rFonts w:cs="Arial"/>
          <w:szCs w:val="16"/>
        </w:rPr>
        <w:t xml:space="preserve">, 18 February 2021, available at </w:t>
      </w:r>
      <w:hyperlink r:id="rId23" w:history="1">
        <w:r w:rsidRPr="00C44189">
          <w:rPr>
            <w:rStyle w:val="Collegamentoipertestuale"/>
            <w:rFonts w:cs="Arial"/>
            <w:szCs w:val="16"/>
          </w:rPr>
          <w:t>https://helsinki.hu/wp-content/uploads/Assessment_NHRI_Hungary_18022021_HHC.pdf</w:t>
        </w:r>
      </w:hyperlink>
      <w:r w:rsidRPr="00C44189">
        <w:rPr>
          <w:rFonts w:cs="Arial"/>
          <w:szCs w:val="16"/>
        </w:rPr>
        <w:t>, p.14.</w:t>
      </w:r>
    </w:p>
  </w:footnote>
  <w:footnote w:id="36">
    <w:p w14:paraId="449FC267" w14:textId="77777777" w:rsidR="0011331E" w:rsidRPr="00C44189" w:rsidRDefault="0011331E"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The 9th Amendment to the Fundamental law restricted the notion of family, stating that “The mother is female, the father is male” and provided for the protection of “the right of children to their identity in line with their sex by birth” and their “upbringing in accordance with the values based on […] Christian culture”.</w:t>
      </w:r>
    </w:p>
  </w:footnote>
  <w:footnote w:id="37">
    <w:p w14:paraId="494AEFF9" w14:textId="17EB7672" w:rsidR="002627FE" w:rsidRPr="00C44189" w:rsidRDefault="002627FE"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Act XXX of 2020 on the Amendment of Certain Laws Related to Public Administration and on Donating Property</w:t>
      </w:r>
      <w:r w:rsidR="00CD6051" w:rsidRPr="00C44189">
        <w:rPr>
          <w:rFonts w:cs="Arial"/>
          <w:szCs w:val="16"/>
        </w:rPr>
        <w:t xml:space="preserve"> (</w:t>
      </w:r>
      <w:r w:rsidR="00CD6051" w:rsidRPr="0055056D">
        <w:rPr>
          <w:rFonts w:cs="Arial"/>
          <w:i/>
          <w:iCs/>
          <w:szCs w:val="16"/>
        </w:rPr>
        <w:t xml:space="preserve">2020. </w:t>
      </w:r>
      <w:proofErr w:type="spellStart"/>
      <w:r w:rsidR="00CD6051" w:rsidRPr="0055056D">
        <w:rPr>
          <w:rFonts w:cs="Arial"/>
          <w:i/>
          <w:iCs/>
          <w:szCs w:val="16"/>
        </w:rPr>
        <w:t>évi</w:t>
      </w:r>
      <w:proofErr w:type="spellEnd"/>
      <w:r w:rsidR="00CD6051" w:rsidRPr="0055056D">
        <w:rPr>
          <w:rFonts w:cs="Arial"/>
          <w:i/>
          <w:iCs/>
          <w:szCs w:val="16"/>
        </w:rPr>
        <w:t xml:space="preserve"> XXX. </w:t>
      </w:r>
      <w:proofErr w:type="spellStart"/>
      <w:r w:rsidR="00CD6051" w:rsidRPr="0055056D">
        <w:rPr>
          <w:rFonts w:cs="Arial"/>
          <w:i/>
          <w:iCs/>
          <w:szCs w:val="16"/>
        </w:rPr>
        <w:t>Törvény</w:t>
      </w:r>
      <w:proofErr w:type="spellEnd"/>
      <w:r w:rsidR="00CD6051" w:rsidRPr="0055056D">
        <w:rPr>
          <w:rFonts w:cs="Arial"/>
          <w:i/>
          <w:iCs/>
          <w:szCs w:val="16"/>
        </w:rPr>
        <w:t xml:space="preserve"> </w:t>
      </w:r>
      <w:proofErr w:type="spellStart"/>
      <w:r w:rsidR="00CD6051" w:rsidRPr="0055056D">
        <w:rPr>
          <w:rFonts w:cs="Arial"/>
          <w:i/>
          <w:iCs/>
          <w:szCs w:val="16"/>
        </w:rPr>
        <w:t>egyes</w:t>
      </w:r>
      <w:proofErr w:type="spellEnd"/>
      <w:r w:rsidR="00CD6051" w:rsidRPr="0055056D">
        <w:rPr>
          <w:rFonts w:cs="Arial"/>
          <w:i/>
          <w:iCs/>
          <w:szCs w:val="16"/>
        </w:rPr>
        <w:t xml:space="preserve"> </w:t>
      </w:r>
      <w:proofErr w:type="spellStart"/>
      <w:r w:rsidR="00CD6051" w:rsidRPr="0055056D">
        <w:rPr>
          <w:rFonts w:cs="Arial"/>
          <w:i/>
          <w:iCs/>
          <w:szCs w:val="16"/>
        </w:rPr>
        <w:t>közigazgatási</w:t>
      </w:r>
      <w:proofErr w:type="spellEnd"/>
      <w:r w:rsidR="00CD6051" w:rsidRPr="0055056D">
        <w:rPr>
          <w:rFonts w:cs="Arial"/>
          <w:i/>
          <w:iCs/>
          <w:szCs w:val="16"/>
        </w:rPr>
        <w:t xml:space="preserve"> </w:t>
      </w:r>
      <w:proofErr w:type="spellStart"/>
      <w:r w:rsidR="00CD6051" w:rsidRPr="0055056D">
        <w:rPr>
          <w:rFonts w:cs="Arial"/>
          <w:i/>
          <w:iCs/>
          <w:szCs w:val="16"/>
        </w:rPr>
        <w:t>tárgyú</w:t>
      </w:r>
      <w:proofErr w:type="spellEnd"/>
      <w:r w:rsidR="00CD6051" w:rsidRPr="0055056D">
        <w:rPr>
          <w:rFonts w:cs="Arial"/>
          <w:i/>
          <w:iCs/>
          <w:szCs w:val="16"/>
        </w:rPr>
        <w:t xml:space="preserve"> </w:t>
      </w:r>
      <w:proofErr w:type="spellStart"/>
      <w:r w:rsidR="00CD6051" w:rsidRPr="0055056D">
        <w:rPr>
          <w:rFonts w:cs="Arial"/>
          <w:i/>
          <w:iCs/>
          <w:szCs w:val="16"/>
        </w:rPr>
        <w:t>törvények</w:t>
      </w:r>
      <w:proofErr w:type="spellEnd"/>
      <w:r w:rsidR="00CD6051" w:rsidRPr="0055056D">
        <w:rPr>
          <w:rFonts w:cs="Arial"/>
          <w:i/>
          <w:iCs/>
          <w:szCs w:val="16"/>
        </w:rPr>
        <w:t xml:space="preserve"> </w:t>
      </w:r>
      <w:proofErr w:type="spellStart"/>
      <w:r w:rsidR="00CD6051" w:rsidRPr="0055056D">
        <w:rPr>
          <w:rFonts w:cs="Arial"/>
          <w:i/>
          <w:iCs/>
          <w:szCs w:val="16"/>
        </w:rPr>
        <w:t>módosításáról</w:t>
      </w:r>
      <w:proofErr w:type="spellEnd"/>
      <w:r w:rsidR="00CD6051" w:rsidRPr="0055056D">
        <w:rPr>
          <w:rFonts w:cs="Arial"/>
          <w:i/>
          <w:iCs/>
          <w:szCs w:val="16"/>
        </w:rPr>
        <w:t xml:space="preserve">, </w:t>
      </w:r>
      <w:proofErr w:type="spellStart"/>
      <w:r w:rsidR="00CD6051" w:rsidRPr="0055056D">
        <w:rPr>
          <w:rFonts w:cs="Arial"/>
          <w:i/>
          <w:iCs/>
          <w:szCs w:val="16"/>
        </w:rPr>
        <w:t>valamint</w:t>
      </w:r>
      <w:proofErr w:type="spellEnd"/>
      <w:r w:rsidR="00CD6051" w:rsidRPr="0055056D">
        <w:rPr>
          <w:rFonts w:cs="Arial"/>
          <w:i/>
          <w:iCs/>
          <w:szCs w:val="16"/>
        </w:rPr>
        <w:t xml:space="preserve"> </w:t>
      </w:r>
      <w:proofErr w:type="spellStart"/>
      <w:r w:rsidR="00CD6051" w:rsidRPr="0055056D">
        <w:rPr>
          <w:rFonts w:cs="Arial"/>
          <w:i/>
          <w:iCs/>
          <w:szCs w:val="16"/>
        </w:rPr>
        <w:t>ingyenes</w:t>
      </w:r>
      <w:proofErr w:type="spellEnd"/>
      <w:r w:rsidR="00CD6051" w:rsidRPr="0055056D">
        <w:rPr>
          <w:rFonts w:cs="Arial"/>
          <w:i/>
          <w:iCs/>
          <w:szCs w:val="16"/>
        </w:rPr>
        <w:t xml:space="preserve"> </w:t>
      </w:r>
      <w:proofErr w:type="spellStart"/>
      <w:r w:rsidR="00CD6051" w:rsidRPr="0055056D">
        <w:rPr>
          <w:rFonts w:cs="Arial"/>
          <w:i/>
          <w:iCs/>
          <w:szCs w:val="16"/>
        </w:rPr>
        <w:t>vagyonjuttatásról</w:t>
      </w:r>
      <w:proofErr w:type="spellEnd"/>
      <w:r w:rsidR="00CD6051" w:rsidRPr="00C44189">
        <w:rPr>
          <w:rFonts w:cs="Arial"/>
          <w:szCs w:val="16"/>
        </w:rPr>
        <w:t xml:space="preserve">), available at </w:t>
      </w:r>
      <w:hyperlink r:id="rId24" w:history="1">
        <w:r w:rsidR="00E1572A" w:rsidRPr="00C44189">
          <w:rPr>
            <w:rStyle w:val="Collegamentoipertestuale"/>
            <w:rFonts w:cs="Arial"/>
            <w:szCs w:val="16"/>
          </w:rPr>
          <w:t>https://njt.hu/jogszabaly/2020-30-00-00</w:t>
        </w:r>
      </w:hyperlink>
      <w:r w:rsidR="00E1572A" w:rsidRPr="00C44189">
        <w:rPr>
          <w:rFonts w:cs="Arial"/>
          <w:szCs w:val="16"/>
        </w:rPr>
        <w:t xml:space="preserve"> </w:t>
      </w:r>
    </w:p>
  </w:footnote>
  <w:footnote w:id="38">
    <w:p w14:paraId="7575E33D" w14:textId="28A3F51A" w:rsidR="00DA4A86" w:rsidRPr="00C44189" w:rsidRDefault="00DA4A86"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9E04AF" w:rsidRPr="00C44189">
        <w:rPr>
          <w:rFonts w:cs="Arial"/>
          <w:szCs w:val="16"/>
        </w:rPr>
        <w:t>Act CLXV of 2020</w:t>
      </w:r>
      <w:r w:rsidR="00810F5A" w:rsidRPr="00C44189">
        <w:rPr>
          <w:rFonts w:cs="Arial"/>
          <w:szCs w:val="16"/>
        </w:rPr>
        <w:t xml:space="preserve"> </w:t>
      </w:r>
      <w:r w:rsidR="00FB44B8" w:rsidRPr="00C44189">
        <w:rPr>
          <w:rFonts w:cs="Arial"/>
          <w:szCs w:val="16"/>
        </w:rPr>
        <w:t xml:space="preserve">amending certain laws on justice </w:t>
      </w:r>
      <w:r w:rsidR="00810F5A" w:rsidRPr="00C44189">
        <w:rPr>
          <w:rFonts w:cs="Arial"/>
          <w:szCs w:val="16"/>
        </w:rPr>
        <w:t>(</w:t>
      </w:r>
      <w:r w:rsidR="009A5C8B" w:rsidRPr="0055056D">
        <w:rPr>
          <w:rFonts w:cs="Arial"/>
          <w:i/>
          <w:iCs/>
          <w:szCs w:val="16"/>
        </w:rPr>
        <w:t xml:space="preserve">2020. </w:t>
      </w:r>
      <w:proofErr w:type="spellStart"/>
      <w:r w:rsidR="009A5C8B" w:rsidRPr="0055056D">
        <w:rPr>
          <w:rFonts w:cs="Arial"/>
          <w:i/>
          <w:iCs/>
          <w:szCs w:val="16"/>
        </w:rPr>
        <w:t>évi</w:t>
      </w:r>
      <w:proofErr w:type="spellEnd"/>
      <w:r w:rsidR="009A5C8B" w:rsidRPr="0055056D">
        <w:rPr>
          <w:rFonts w:cs="Arial"/>
          <w:i/>
          <w:iCs/>
          <w:szCs w:val="16"/>
        </w:rPr>
        <w:t xml:space="preserve"> CLXV. </w:t>
      </w:r>
      <w:proofErr w:type="spellStart"/>
      <w:r w:rsidR="009A5C8B" w:rsidRPr="0055056D">
        <w:rPr>
          <w:rFonts w:cs="Arial"/>
          <w:i/>
          <w:iCs/>
          <w:szCs w:val="16"/>
        </w:rPr>
        <w:t>Törvény</w:t>
      </w:r>
      <w:proofErr w:type="spellEnd"/>
      <w:r w:rsidR="009A5C8B" w:rsidRPr="0055056D">
        <w:rPr>
          <w:rFonts w:cs="Arial"/>
          <w:i/>
          <w:iCs/>
          <w:szCs w:val="16"/>
        </w:rPr>
        <w:t xml:space="preserve"> </w:t>
      </w:r>
      <w:proofErr w:type="spellStart"/>
      <w:r w:rsidR="009A5C8B" w:rsidRPr="0055056D">
        <w:rPr>
          <w:rFonts w:cs="Arial"/>
          <w:i/>
          <w:iCs/>
          <w:szCs w:val="16"/>
        </w:rPr>
        <w:t>az</w:t>
      </w:r>
      <w:proofErr w:type="spellEnd"/>
      <w:r w:rsidR="009A5C8B" w:rsidRPr="0055056D">
        <w:rPr>
          <w:rFonts w:cs="Arial"/>
          <w:i/>
          <w:iCs/>
          <w:szCs w:val="16"/>
        </w:rPr>
        <w:t xml:space="preserve"> </w:t>
      </w:r>
      <w:proofErr w:type="spellStart"/>
      <w:r w:rsidR="009A5C8B" w:rsidRPr="0055056D">
        <w:rPr>
          <w:rFonts w:cs="Arial"/>
          <w:i/>
          <w:iCs/>
          <w:szCs w:val="16"/>
        </w:rPr>
        <w:t>egyes</w:t>
      </w:r>
      <w:proofErr w:type="spellEnd"/>
      <w:r w:rsidR="009A5C8B" w:rsidRPr="0055056D">
        <w:rPr>
          <w:rFonts w:cs="Arial"/>
          <w:i/>
          <w:iCs/>
          <w:szCs w:val="16"/>
        </w:rPr>
        <w:t xml:space="preserve"> </w:t>
      </w:r>
      <w:proofErr w:type="spellStart"/>
      <w:r w:rsidR="009A5C8B" w:rsidRPr="0055056D">
        <w:rPr>
          <w:rFonts w:cs="Arial"/>
          <w:i/>
          <w:iCs/>
          <w:szCs w:val="16"/>
        </w:rPr>
        <w:t>igazságügyi</w:t>
      </w:r>
      <w:proofErr w:type="spellEnd"/>
      <w:r w:rsidR="009A5C8B" w:rsidRPr="0055056D">
        <w:rPr>
          <w:rFonts w:cs="Arial"/>
          <w:i/>
          <w:iCs/>
          <w:szCs w:val="16"/>
        </w:rPr>
        <w:t xml:space="preserve"> </w:t>
      </w:r>
      <w:proofErr w:type="spellStart"/>
      <w:r w:rsidR="009A5C8B" w:rsidRPr="0055056D">
        <w:rPr>
          <w:rFonts w:cs="Arial"/>
          <w:i/>
          <w:iCs/>
          <w:szCs w:val="16"/>
        </w:rPr>
        <w:t>tárgyú</w:t>
      </w:r>
      <w:proofErr w:type="spellEnd"/>
      <w:r w:rsidR="009A5C8B" w:rsidRPr="0055056D">
        <w:rPr>
          <w:rFonts w:cs="Arial"/>
          <w:i/>
          <w:iCs/>
          <w:szCs w:val="16"/>
        </w:rPr>
        <w:t xml:space="preserve"> </w:t>
      </w:r>
      <w:proofErr w:type="spellStart"/>
      <w:r w:rsidR="009A5C8B" w:rsidRPr="0055056D">
        <w:rPr>
          <w:rFonts w:cs="Arial"/>
          <w:i/>
          <w:iCs/>
          <w:szCs w:val="16"/>
        </w:rPr>
        <w:t>törvények</w:t>
      </w:r>
      <w:proofErr w:type="spellEnd"/>
      <w:r w:rsidR="009A5C8B" w:rsidRPr="0055056D">
        <w:rPr>
          <w:rFonts w:cs="Arial"/>
          <w:i/>
          <w:iCs/>
          <w:szCs w:val="16"/>
        </w:rPr>
        <w:t xml:space="preserve"> </w:t>
      </w:r>
      <w:proofErr w:type="spellStart"/>
      <w:r w:rsidR="009A5C8B" w:rsidRPr="0055056D">
        <w:rPr>
          <w:rFonts w:cs="Arial"/>
          <w:i/>
          <w:iCs/>
          <w:szCs w:val="16"/>
        </w:rPr>
        <w:t>módosításáról</w:t>
      </w:r>
      <w:proofErr w:type="spellEnd"/>
      <w:r w:rsidR="009A5C8B" w:rsidRPr="00C44189">
        <w:rPr>
          <w:rFonts w:cs="Arial"/>
          <w:szCs w:val="16"/>
        </w:rPr>
        <w:t>).</w:t>
      </w:r>
    </w:p>
  </w:footnote>
  <w:footnote w:id="39">
    <w:p w14:paraId="7AF438DF" w14:textId="48D32367" w:rsidR="004B6923" w:rsidRDefault="004B6923">
      <w:pPr>
        <w:pStyle w:val="Testonotaapidipagina"/>
      </w:pPr>
      <w:r>
        <w:rPr>
          <w:rStyle w:val="Rimandonotaapidipagina"/>
        </w:rPr>
        <w:footnoteRef/>
      </w:r>
      <w:r>
        <w:t xml:space="preserve"> </w:t>
      </w:r>
      <w:r w:rsidR="00D85AB4">
        <w:t>Act</w:t>
      </w:r>
      <w:r w:rsidR="00C75BBA" w:rsidRPr="00C75BBA">
        <w:t xml:space="preserve"> LXXIX of 2021 adopting stricter measures against persons convicted of paedophilia and amending certain laws for the protection of children</w:t>
      </w:r>
      <w:r w:rsidR="00D85AB4">
        <w:t xml:space="preserve"> (</w:t>
      </w:r>
      <w:r w:rsidR="00D85AB4" w:rsidRPr="0055056D">
        <w:rPr>
          <w:i/>
          <w:iCs/>
        </w:rPr>
        <w:t xml:space="preserve">2021. </w:t>
      </w:r>
      <w:proofErr w:type="spellStart"/>
      <w:r w:rsidR="00D85AB4" w:rsidRPr="0055056D">
        <w:rPr>
          <w:i/>
          <w:iCs/>
        </w:rPr>
        <w:t>évi</w:t>
      </w:r>
      <w:proofErr w:type="spellEnd"/>
      <w:r w:rsidR="00D85AB4" w:rsidRPr="0055056D">
        <w:rPr>
          <w:i/>
          <w:iCs/>
        </w:rPr>
        <w:t xml:space="preserve"> LXXIX. </w:t>
      </w:r>
      <w:proofErr w:type="spellStart"/>
      <w:r w:rsidR="00D85AB4" w:rsidRPr="0055056D">
        <w:rPr>
          <w:i/>
          <w:iCs/>
        </w:rPr>
        <w:t>törvény</w:t>
      </w:r>
      <w:proofErr w:type="spellEnd"/>
      <w:r w:rsidR="00D85AB4" w:rsidRPr="0055056D">
        <w:rPr>
          <w:i/>
          <w:iCs/>
        </w:rPr>
        <w:t xml:space="preserve"> a </w:t>
      </w:r>
      <w:proofErr w:type="spellStart"/>
      <w:r w:rsidR="00D85AB4" w:rsidRPr="0055056D">
        <w:rPr>
          <w:i/>
          <w:iCs/>
        </w:rPr>
        <w:t>pedofil</w:t>
      </w:r>
      <w:proofErr w:type="spellEnd"/>
      <w:r w:rsidR="00D85AB4" w:rsidRPr="0055056D">
        <w:rPr>
          <w:i/>
          <w:iCs/>
        </w:rPr>
        <w:t xml:space="preserve"> </w:t>
      </w:r>
      <w:proofErr w:type="spellStart"/>
      <w:r w:rsidR="00D85AB4" w:rsidRPr="0055056D">
        <w:rPr>
          <w:i/>
          <w:iCs/>
        </w:rPr>
        <w:t>bűnelkövetőkkel</w:t>
      </w:r>
      <w:proofErr w:type="spellEnd"/>
      <w:r w:rsidR="00D85AB4" w:rsidRPr="0055056D">
        <w:rPr>
          <w:i/>
          <w:iCs/>
        </w:rPr>
        <w:t xml:space="preserve"> </w:t>
      </w:r>
      <w:proofErr w:type="spellStart"/>
      <w:r w:rsidR="00D85AB4" w:rsidRPr="0055056D">
        <w:rPr>
          <w:i/>
          <w:iCs/>
        </w:rPr>
        <w:t>szembeni</w:t>
      </w:r>
      <w:proofErr w:type="spellEnd"/>
      <w:r w:rsidR="00D85AB4" w:rsidRPr="0055056D">
        <w:rPr>
          <w:i/>
          <w:iCs/>
        </w:rPr>
        <w:t xml:space="preserve"> </w:t>
      </w:r>
      <w:proofErr w:type="spellStart"/>
      <w:r w:rsidR="00D85AB4" w:rsidRPr="0055056D">
        <w:rPr>
          <w:i/>
          <w:iCs/>
        </w:rPr>
        <w:t>szigorúbb</w:t>
      </w:r>
      <w:proofErr w:type="spellEnd"/>
      <w:r w:rsidR="00D85AB4" w:rsidRPr="0055056D">
        <w:rPr>
          <w:i/>
          <w:iCs/>
        </w:rPr>
        <w:t xml:space="preserve"> </w:t>
      </w:r>
      <w:proofErr w:type="spellStart"/>
      <w:r w:rsidR="00D85AB4" w:rsidRPr="0055056D">
        <w:rPr>
          <w:i/>
          <w:iCs/>
        </w:rPr>
        <w:t>fellépésről</w:t>
      </w:r>
      <w:proofErr w:type="spellEnd"/>
      <w:r w:rsidR="00D85AB4" w:rsidRPr="0055056D">
        <w:rPr>
          <w:i/>
          <w:iCs/>
        </w:rPr>
        <w:t xml:space="preserve">, </w:t>
      </w:r>
      <w:proofErr w:type="spellStart"/>
      <w:r w:rsidR="00D85AB4" w:rsidRPr="0055056D">
        <w:rPr>
          <w:i/>
          <w:iCs/>
        </w:rPr>
        <w:t>valamint</w:t>
      </w:r>
      <w:proofErr w:type="spellEnd"/>
      <w:r w:rsidR="00D85AB4" w:rsidRPr="0055056D">
        <w:rPr>
          <w:i/>
          <w:iCs/>
        </w:rPr>
        <w:t xml:space="preserve"> a </w:t>
      </w:r>
      <w:proofErr w:type="spellStart"/>
      <w:r w:rsidR="00D85AB4" w:rsidRPr="0055056D">
        <w:rPr>
          <w:i/>
          <w:iCs/>
        </w:rPr>
        <w:t>gyermekek</w:t>
      </w:r>
      <w:proofErr w:type="spellEnd"/>
      <w:r w:rsidR="00D85AB4" w:rsidRPr="0055056D">
        <w:rPr>
          <w:i/>
          <w:iCs/>
        </w:rPr>
        <w:t xml:space="preserve"> </w:t>
      </w:r>
      <w:proofErr w:type="spellStart"/>
      <w:r w:rsidR="00D85AB4" w:rsidRPr="0055056D">
        <w:rPr>
          <w:i/>
          <w:iCs/>
        </w:rPr>
        <w:t>védelme</w:t>
      </w:r>
      <w:proofErr w:type="spellEnd"/>
      <w:r w:rsidR="00D85AB4" w:rsidRPr="0055056D">
        <w:rPr>
          <w:i/>
          <w:iCs/>
        </w:rPr>
        <w:t xml:space="preserve"> </w:t>
      </w:r>
      <w:proofErr w:type="spellStart"/>
      <w:r w:rsidR="00D85AB4" w:rsidRPr="0055056D">
        <w:rPr>
          <w:i/>
          <w:iCs/>
        </w:rPr>
        <w:t>érdekében</w:t>
      </w:r>
      <w:proofErr w:type="spellEnd"/>
      <w:r w:rsidR="00D85AB4" w:rsidRPr="0055056D">
        <w:rPr>
          <w:i/>
          <w:iCs/>
        </w:rPr>
        <w:t xml:space="preserve"> </w:t>
      </w:r>
      <w:proofErr w:type="spellStart"/>
      <w:r w:rsidR="00D85AB4" w:rsidRPr="0055056D">
        <w:rPr>
          <w:i/>
          <w:iCs/>
        </w:rPr>
        <w:t>egyes</w:t>
      </w:r>
      <w:proofErr w:type="spellEnd"/>
      <w:r w:rsidR="00D85AB4" w:rsidRPr="0055056D">
        <w:rPr>
          <w:i/>
          <w:iCs/>
        </w:rPr>
        <w:t xml:space="preserve"> </w:t>
      </w:r>
      <w:proofErr w:type="spellStart"/>
      <w:r w:rsidR="00D85AB4" w:rsidRPr="0055056D">
        <w:rPr>
          <w:i/>
          <w:iCs/>
        </w:rPr>
        <w:t>törvények</w:t>
      </w:r>
      <w:proofErr w:type="spellEnd"/>
      <w:r w:rsidR="00D85AB4" w:rsidRPr="0055056D">
        <w:rPr>
          <w:i/>
          <w:iCs/>
        </w:rPr>
        <w:t xml:space="preserve"> </w:t>
      </w:r>
      <w:proofErr w:type="spellStart"/>
      <w:r w:rsidR="00D85AB4" w:rsidRPr="0055056D">
        <w:rPr>
          <w:i/>
          <w:iCs/>
        </w:rPr>
        <w:t>módosításáról</w:t>
      </w:r>
      <w:proofErr w:type="spellEnd"/>
      <w:r w:rsidR="00D85AB4" w:rsidRPr="0055056D">
        <w:rPr>
          <w:i/>
          <w:iCs/>
        </w:rPr>
        <w:t xml:space="preserve"> </w:t>
      </w:r>
      <w:proofErr w:type="spellStart"/>
      <w:r w:rsidR="00D85AB4" w:rsidRPr="0055056D">
        <w:rPr>
          <w:i/>
          <w:iCs/>
        </w:rPr>
        <w:t>szóló</w:t>
      </w:r>
      <w:proofErr w:type="spellEnd"/>
      <w:r w:rsidR="00D85AB4">
        <w:t>).</w:t>
      </w:r>
    </w:p>
  </w:footnote>
  <w:footnote w:id="40">
    <w:p w14:paraId="2EE5B0FF" w14:textId="46D0E97C" w:rsidR="00B9709F" w:rsidRPr="00C44189" w:rsidRDefault="00B9709F"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CE393A" w:rsidRPr="00C44189">
        <w:rPr>
          <w:rFonts w:cs="Arial"/>
          <w:szCs w:val="16"/>
        </w:rPr>
        <w:t>Hungarian Helsinki Committee, All you ever wanted to know about what happened to refugee protection in Hungary since 2015 in one place, 20 August 2018</w:t>
      </w:r>
      <w:r w:rsidR="00AE2F52" w:rsidRPr="00C44189">
        <w:rPr>
          <w:rFonts w:cs="Arial"/>
          <w:szCs w:val="16"/>
        </w:rPr>
        <w:t xml:space="preserve"> (regularly updated), available at </w:t>
      </w:r>
      <w:hyperlink r:id="rId25" w:history="1">
        <w:r w:rsidR="00AE2F52" w:rsidRPr="00C44189">
          <w:rPr>
            <w:rStyle w:val="Collegamentoipertestuale"/>
            <w:rFonts w:cs="Arial"/>
            <w:szCs w:val="16"/>
          </w:rPr>
          <w:t>https://helsinki.hu/en/all-you-ever-wanted-to-know-about-what-happened-to-refugee-protection-in-hungary-since-2015-in-one-place/</w:t>
        </w:r>
      </w:hyperlink>
      <w:r w:rsidR="00AE2F52" w:rsidRPr="00C44189">
        <w:rPr>
          <w:rFonts w:cs="Arial"/>
          <w:szCs w:val="16"/>
        </w:rPr>
        <w:t xml:space="preserve">. </w:t>
      </w:r>
    </w:p>
  </w:footnote>
  <w:footnote w:id="41">
    <w:p w14:paraId="01AC1C40" w14:textId="1D4B29D1" w:rsidR="00C52935" w:rsidRPr="00C44189" w:rsidRDefault="00C52935"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Hungarian Helsinki Committee, Unfettered Freedom to Interfere – Ruling party politicians exerting undue influence on the judiciary in Hungary 2010–2020, 29 July 2020, </w:t>
      </w:r>
      <w:r w:rsidR="002345DE" w:rsidRPr="00C44189">
        <w:rPr>
          <w:rFonts w:cs="Arial"/>
          <w:szCs w:val="16"/>
        </w:rPr>
        <w:t xml:space="preserve">p. 5-6, </w:t>
      </w:r>
      <w:r w:rsidR="009975B7" w:rsidRPr="00C44189">
        <w:rPr>
          <w:rFonts w:cs="Arial"/>
          <w:szCs w:val="16"/>
        </w:rPr>
        <w:t>available at</w:t>
      </w:r>
      <w:r w:rsidRPr="00C44189">
        <w:rPr>
          <w:rFonts w:cs="Arial"/>
          <w:szCs w:val="16"/>
        </w:rPr>
        <w:t xml:space="preserve">, </w:t>
      </w:r>
      <w:r w:rsidR="009975B7" w:rsidRPr="00C44189">
        <w:rPr>
          <w:rFonts w:cs="Arial"/>
          <w:szCs w:val="16"/>
        </w:rPr>
        <w:t>https://www.helsinki.hu/wp-content/uploads/HHC_Hun_Gov_undue_influence_judiciary_29072020.pdf</w:t>
      </w:r>
      <w:r w:rsidRPr="00C44189">
        <w:rPr>
          <w:rFonts w:cs="Arial"/>
          <w:szCs w:val="16"/>
        </w:rPr>
        <w:t>.</w:t>
      </w:r>
    </w:p>
  </w:footnote>
  <w:footnote w:id="42">
    <w:p w14:paraId="1ECAD90F" w14:textId="2911FBFA" w:rsidR="0080394E" w:rsidRPr="00C44189" w:rsidRDefault="0080394E"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CC64CF" w:rsidRPr="00C44189">
        <w:rPr>
          <w:rFonts w:cs="Arial"/>
          <w:szCs w:val="16"/>
        </w:rPr>
        <w:t xml:space="preserve">Act CXC </w:t>
      </w:r>
      <w:r w:rsidR="00C53BE5" w:rsidRPr="00C44189">
        <w:rPr>
          <w:rFonts w:cs="Arial"/>
          <w:szCs w:val="16"/>
        </w:rPr>
        <w:t xml:space="preserve">of 2011 </w:t>
      </w:r>
      <w:r w:rsidR="00CC64CF" w:rsidRPr="00C44189">
        <w:rPr>
          <w:rFonts w:cs="Arial"/>
          <w:szCs w:val="16"/>
        </w:rPr>
        <w:t>on National Public Education</w:t>
      </w:r>
      <w:r w:rsidR="00FF53ED" w:rsidRPr="00C44189">
        <w:rPr>
          <w:rFonts w:cs="Arial"/>
          <w:szCs w:val="16"/>
        </w:rPr>
        <w:t xml:space="preserve"> (</w:t>
      </w:r>
      <w:r w:rsidR="00FF53ED" w:rsidRPr="0055056D">
        <w:rPr>
          <w:rFonts w:cs="Arial"/>
          <w:i/>
          <w:iCs/>
          <w:szCs w:val="16"/>
        </w:rPr>
        <w:t xml:space="preserve">2011. </w:t>
      </w:r>
      <w:proofErr w:type="spellStart"/>
      <w:r w:rsidR="00FF53ED" w:rsidRPr="0055056D">
        <w:rPr>
          <w:rFonts w:cs="Arial"/>
          <w:i/>
          <w:iCs/>
          <w:szCs w:val="16"/>
        </w:rPr>
        <w:t>évi</w:t>
      </w:r>
      <w:proofErr w:type="spellEnd"/>
      <w:r w:rsidR="00FF53ED" w:rsidRPr="0055056D">
        <w:rPr>
          <w:rFonts w:cs="Arial"/>
          <w:i/>
          <w:iCs/>
          <w:szCs w:val="16"/>
        </w:rPr>
        <w:t xml:space="preserve"> CXC. </w:t>
      </w:r>
      <w:proofErr w:type="spellStart"/>
      <w:r w:rsidR="00FF53ED" w:rsidRPr="0055056D">
        <w:rPr>
          <w:rFonts w:cs="Arial"/>
          <w:i/>
          <w:iCs/>
          <w:szCs w:val="16"/>
        </w:rPr>
        <w:t>Törvény</w:t>
      </w:r>
      <w:proofErr w:type="spellEnd"/>
      <w:r w:rsidR="00FF53ED" w:rsidRPr="0055056D">
        <w:rPr>
          <w:rFonts w:cs="Arial"/>
          <w:i/>
          <w:iCs/>
          <w:szCs w:val="16"/>
        </w:rPr>
        <w:t xml:space="preserve"> a </w:t>
      </w:r>
      <w:proofErr w:type="spellStart"/>
      <w:r w:rsidR="00FF53ED" w:rsidRPr="0055056D">
        <w:rPr>
          <w:rFonts w:cs="Arial"/>
          <w:i/>
          <w:iCs/>
          <w:szCs w:val="16"/>
        </w:rPr>
        <w:t>nemzeti</w:t>
      </w:r>
      <w:proofErr w:type="spellEnd"/>
      <w:r w:rsidR="00FF53ED" w:rsidRPr="0055056D">
        <w:rPr>
          <w:rFonts w:cs="Arial"/>
          <w:i/>
          <w:iCs/>
          <w:szCs w:val="16"/>
        </w:rPr>
        <w:t xml:space="preserve"> </w:t>
      </w:r>
      <w:proofErr w:type="spellStart"/>
      <w:r w:rsidR="00FF53ED" w:rsidRPr="0055056D">
        <w:rPr>
          <w:rFonts w:cs="Arial"/>
          <w:i/>
          <w:iCs/>
          <w:szCs w:val="16"/>
        </w:rPr>
        <w:t>köznevelésrő</w:t>
      </w:r>
      <w:proofErr w:type="spellEnd"/>
      <w:r w:rsidR="00FF53ED" w:rsidRPr="00C44189">
        <w:rPr>
          <w:rFonts w:cs="Arial"/>
          <w:szCs w:val="16"/>
        </w:rPr>
        <w:t>)</w:t>
      </w:r>
      <w:r w:rsidR="00F3667E" w:rsidRPr="00C44189">
        <w:rPr>
          <w:rFonts w:cs="Arial"/>
          <w:szCs w:val="16"/>
        </w:rPr>
        <w:t>, available at https://njt.hu/jogszabaly/2011-190-00-00</w:t>
      </w:r>
    </w:p>
  </w:footnote>
  <w:footnote w:id="43">
    <w:p w14:paraId="2435C82F" w14:textId="4BBA7359" w:rsidR="00055FBB" w:rsidRPr="00C44189" w:rsidRDefault="00055FBB"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A03C14" w:rsidRPr="00C44189">
        <w:rPr>
          <w:rFonts w:cs="Arial"/>
          <w:szCs w:val="16"/>
        </w:rPr>
        <w:t>Act LXXXVII of 2020</w:t>
      </w:r>
      <w:r w:rsidR="00C53BE5" w:rsidRPr="00C44189">
        <w:rPr>
          <w:rFonts w:cs="Arial"/>
          <w:szCs w:val="16"/>
        </w:rPr>
        <w:t xml:space="preserve"> amending Act CXC of 2011 on National Public Education</w:t>
      </w:r>
      <w:r w:rsidR="009F54D6" w:rsidRPr="00C44189">
        <w:rPr>
          <w:rFonts w:cs="Arial"/>
          <w:szCs w:val="16"/>
        </w:rPr>
        <w:t xml:space="preserve"> (</w:t>
      </w:r>
      <w:r w:rsidR="009F54D6" w:rsidRPr="0055056D">
        <w:rPr>
          <w:rFonts w:cs="Arial"/>
          <w:i/>
          <w:iCs/>
          <w:szCs w:val="16"/>
        </w:rPr>
        <w:t xml:space="preserve">2020. </w:t>
      </w:r>
      <w:proofErr w:type="spellStart"/>
      <w:r w:rsidR="009F54D6" w:rsidRPr="0055056D">
        <w:rPr>
          <w:rFonts w:cs="Arial"/>
          <w:i/>
          <w:iCs/>
          <w:szCs w:val="16"/>
        </w:rPr>
        <w:t>évi</w:t>
      </w:r>
      <w:proofErr w:type="spellEnd"/>
      <w:r w:rsidR="009F54D6" w:rsidRPr="0055056D">
        <w:rPr>
          <w:rFonts w:cs="Arial"/>
          <w:i/>
          <w:iCs/>
          <w:szCs w:val="16"/>
        </w:rPr>
        <w:t xml:space="preserve"> LXXXVII. </w:t>
      </w:r>
      <w:proofErr w:type="spellStart"/>
      <w:r w:rsidR="009F54D6" w:rsidRPr="0055056D">
        <w:rPr>
          <w:rFonts w:cs="Arial"/>
          <w:i/>
          <w:iCs/>
          <w:szCs w:val="16"/>
        </w:rPr>
        <w:t>Törvény</w:t>
      </w:r>
      <w:proofErr w:type="spellEnd"/>
      <w:r w:rsidR="009F54D6" w:rsidRPr="0055056D">
        <w:rPr>
          <w:rFonts w:cs="Arial"/>
          <w:i/>
          <w:iCs/>
          <w:szCs w:val="16"/>
        </w:rPr>
        <w:t xml:space="preserve"> a </w:t>
      </w:r>
      <w:proofErr w:type="spellStart"/>
      <w:r w:rsidR="009F54D6" w:rsidRPr="0055056D">
        <w:rPr>
          <w:rFonts w:cs="Arial"/>
          <w:i/>
          <w:iCs/>
          <w:szCs w:val="16"/>
        </w:rPr>
        <w:t>nemzeti</w:t>
      </w:r>
      <w:proofErr w:type="spellEnd"/>
      <w:r w:rsidR="009F54D6" w:rsidRPr="0055056D">
        <w:rPr>
          <w:rFonts w:cs="Arial"/>
          <w:i/>
          <w:iCs/>
          <w:szCs w:val="16"/>
        </w:rPr>
        <w:t xml:space="preserve"> </w:t>
      </w:r>
      <w:proofErr w:type="spellStart"/>
      <w:r w:rsidR="009F54D6" w:rsidRPr="0055056D">
        <w:rPr>
          <w:rFonts w:cs="Arial"/>
          <w:i/>
          <w:iCs/>
          <w:szCs w:val="16"/>
        </w:rPr>
        <w:t>köznevelésről</w:t>
      </w:r>
      <w:proofErr w:type="spellEnd"/>
      <w:r w:rsidR="009F54D6" w:rsidRPr="0055056D">
        <w:rPr>
          <w:rFonts w:cs="Arial"/>
          <w:i/>
          <w:iCs/>
          <w:szCs w:val="16"/>
        </w:rPr>
        <w:t xml:space="preserve"> </w:t>
      </w:r>
      <w:proofErr w:type="spellStart"/>
      <w:r w:rsidR="009F54D6" w:rsidRPr="0055056D">
        <w:rPr>
          <w:rFonts w:cs="Arial"/>
          <w:i/>
          <w:iCs/>
          <w:szCs w:val="16"/>
        </w:rPr>
        <w:t>szóló</w:t>
      </w:r>
      <w:proofErr w:type="spellEnd"/>
      <w:r w:rsidR="009F54D6" w:rsidRPr="0055056D">
        <w:rPr>
          <w:rFonts w:cs="Arial"/>
          <w:i/>
          <w:iCs/>
          <w:szCs w:val="16"/>
        </w:rPr>
        <w:t xml:space="preserve"> 2011. </w:t>
      </w:r>
      <w:proofErr w:type="spellStart"/>
      <w:r w:rsidR="009F54D6" w:rsidRPr="0055056D">
        <w:rPr>
          <w:rFonts w:cs="Arial"/>
          <w:i/>
          <w:iCs/>
          <w:szCs w:val="16"/>
        </w:rPr>
        <w:t>évi</w:t>
      </w:r>
      <w:proofErr w:type="spellEnd"/>
      <w:r w:rsidR="009F54D6" w:rsidRPr="0055056D">
        <w:rPr>
          <w:rFonts w:cs="Arial"/>
          <w:i/>
          <w:iCs/>
          <w:szCs w:val="16"/>
        </w:rPr>
        <w:t xml:space="preserve"> CXC. </w:t>
      </w:r>
      <w:proofErr w:type="spellStart"/>
      <w:r w:rsidR="009F54D6" w:rsidRPr="0055056D">
        <w:rPr>
          <w:rFonts w:cs="Arial"/>
          <w:i/>
          <w:iCs/>
          <w:szCs w:val="16"/>
        </w:rPr>
        <w:t>törvény</w:t>
      </w:r>
      <w:proofErr w:type="spellEnd"/>
      <w:r w:rsidR="009F54D6" w:rsidRPr="0055056D">
        <w:rPr>
          <w:rFonts w:cs="Arial"/>
          <w:i/>
          <w:iCs/>
          <w:szCs w:val="16"/>
        </w:rPr>
        <w:t xml:space="preserve"> </w:t>
      </w:r>
      <w:proofErr w:type="spellStart"/>
      <w:r w:rsidR="009F54D6" w:rsidRPr="0055056D">
        <w:rPr>
          <w:rFonts w:cs="Arial"/>
          <w:i/>
          <w:iCs/>
          <w:szCs w:val="16"/>
        </w:rPr>
        <w:t>módosításáról</w:t>
      </w:r>
      <w:proofErr w:type="spellEnd"/>
      <w:r w:rsidR="009F54D6" w:rsidRPr="00C44189">
        <w:rPr>
          <w:rFonts w:cs="Arial"/>
          <w:szCs w:val="16"/>
        </w:rPr>
        <w:t>)</w:t>
      </w:r>
      <w:r w:rsidR="00154B3E" w:rsidRPr="00C44189">
        <w:rPr>
          <w:rFonts w:cs="Arial"/>
          <w:szCs w:val="16"/>
        </w:rPr>
        <w:t>.</w:t>
      </w:r>
    </w:p>
  </w:footnote>
  <w:footnote w:id="44">
    <w:p w14:paraId="0AB9B460" w14:textId="5C8A7799" w:rsidR="00FF4ED5" w:rsidRPr="00C44189" w:rsidRDefault="00FF4ED5"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F822B4" w:rsidRPr="00C44189">
        <w:rPr>
          <w:rFonts w:cs="Arial"/>
          <w:szCs w:val="16"/>
        </w:rPr>
        <w:t xml:space="preserve">Hungarian Helsinki Committee (2021), </w:t>
      </w:r>
      <w:r w:rsidR="008A15E1" w:rsidRPr="0055056D">
        <w:rPr>
          <w:rFonts w:cs="Arial"/>
          <w:szCs w:val="16"/>
        </w:rPr>
        <w:t xml:space="preserve">Shadow report to the GANHRI Sub-Committee on Accreditation on the activities and independence of the Commissioner for Fundamental Rights of Hungary </w:t>
      </w:r>
      <w:proofErr w:type="gramStart"/>
      <w:r w:rsidR="008A15E1" w:rsidRPr="0055056D">
        <w:rPr>
          <w:rFonts w:cs="Arial"/>
          <w:szCs w:val="16"/>
        </w:rPr>
        <w:t>in light of</w:t>
      </w:r>
      <w:proofErr w:type="gramEnd"/>
      <w:r w:rsidR="008A15E1" w:rsidRPr="0055056D">
        <w:rPr>
          <w:rFonts w:cs="Arial"/>
          <w:szCs w:val="16"/>
        </w:rPr>
        <w:t xml:space="preserve"> the requirements set for national human rights institutions</w:t>
      </w:r>
      <w:r w:rsidR="00F822B4" w:rsidRPr="00C44189">
        <w:rPr>
          <w:rFonts w:cs="Arial"/>
          <w:szCs w:val="16"/>
        </w:rPr>
        <w:t>, 18 February 2021</w:t>
      </w:r>
      <w:r w:rsidR="00EA2687" w:rsidRPr="00C44189">
        <w:rPr>
          <w:rFonts w:cs="Arial"/>
          <w:szCs w:val="16"/>
        </w:rPr>
        <w:t>, p.14.</w:t>
      </w:r>
    </w:p>
  </w:footnote>
  <w:footnote w:id="45">
    <w:p w14:paraId="67E925C1" w14:textId="77777777" w:rsidR="0085072E" w:rsidRDefault="0085072E" w:rsidP="0085072E">
      <w:pPr>
        <w:pStyle w:val="Testonotaapidipagina"/>
      </w:pPr>
      <w:r>
        <w:rPr>
          <w:rStyle w:val="Rimandonotaapidipagina"/>
        </w:rPr>
        <w:footnoteRef/>
      </w:r>
      <w:r>
        <w:t xml:space="preserve"> </w:t>
      </w:r>
      <w:r w:rsidRPr="00C44189">
        <w:rPr>
          <w:rFonts w:cs="Arial"/>
          <w:szCs w:val="16"/>
        </w:rPr>
        <w:t xml:space="preserve">Hungarian Helsinki Committee (2021), </w:t>
      </w:r>
      <w:r w:rsidRPr="002E46D9">
        <w:rPr>
          <w:rFonts w:cs="Arial"/>
          <w:szCs w:val="16"/>
        </w:rPr>
        <w:t xml:space="preserve">Shadow report to the GANHRI Sub-Committee on Accreditation on the activities and independence of the Commissioner for Fundamental Rights of Hungary </w:t>
      </w:r>
      <w:proofErr w:type="gramStart"/>
      <w:r w:rsidRPr="002E46D9">
        <w:rPr>
          <w:rFonts w:cs="Arial"/>
          <w:szCs w:val="16"/>
        </w:rPr>
        <w:t>in light of</w:t>
      </w:r>
      <w:proofErr w:type="gramEnd"/>
      <w:r w:rsidRPr="002E46D9">
        <w:rPr>
          <w:rFonts w:cs="Arial"/>
          <w:szCs w:val="16"/>
        </w:rPr>
        <w:t xml:space="preserve"> the requirements set for national human rights institutions</w:t>
      </w:r>
      <w:r w:rsidRPr="00C44189">
        <w:rPr>
          <w:rFonts w:cs="Arial"/>
          <w:szCs w:val="16"/>
        </w:rPr>
        <w:t>, 18 February 2021, p.</w:t>
      </w:r>
      <w:r>
        <w:rPr>
          <w:rFonts w:cs="Arial"/>
          <w:szCs w:val="16"/>
        </w:rPr>
        <w:t>24-26.</w:t>
      </w:r>
    </w:p>
  </w:footnote>
  <w:footnote w:id="46">
    <w:p w14:paraId="56624E69" w14:textId="40311204" w:rsidR="00BD310C" w:rsidRDefault="00BD310C" w:rsidP="003F5D99">
      <w:pPr>
        <w:pStyle w:val="Testonotaapidipagina"/>
      </w:pPr>
      <w:r>
        <w:rPr>
          <w:rStyle w:val="Rimandonotaapidipagina"/>
        </w:rPr>
        <w:footnoteRef/>
      </w:r>
      <w:r>
        <w:t xml:space="preserve"> </w:t>
      </w:r>
      <w:r w:rsidR="00032D3B" w:rsidRPr="00032D3B">
        <w:t>Act LXXVI of 2017 on the Transparency of Organisations Supported from Abroad</w:t>
      </w:r>
      <w:r w:rsidR="003F5D99">
        <w:t xml:space="preserve"> (2017. </w:t>
      </w:r>
      <w:proofErr w:type="spellStart"/>
      <w:r w:rsidR="003F5D99">
        <w:t>évi</w:t>
      </w:r>
      <w:proofErr w:type="spellEnd"/>
      <w:r w:rsidR="003F5D99">
        <w:t xml:space="preserve"> LXXVI. </w:t>
      </w:r>
      <w:proofErr w:type="spellStart"/>
      <w:r w:rsidR="00576A79">
        <w:t>T</w:t>
      </w:r>
      <w:r w:rsidR="003F5D99">
        <w:t>örvény</w:t>
      </w:r>
      <w:proofErr w:type="spellEnd"/>
      <w:r w:rsidR="00576A79">
        <w:t xml:space="preserve"> </w:t>
      </w:r>
      <w:r w:rsidR="003F5D99">
        <w:t xml:space="preserve">a </w:t>
      </w:r>
      <w:proofErr w:type="spellStart"/>
      <w:r w:rsidR="003F5D99">
        <w:t>külföldről</w:t>
      </w:r>
      <w:proofErr w:type="spellEnd"/>
      <w:r w:rsidR="003F5D99">
        <w:t xml:space="preserve"> </w:t>
      </w:r>
      <w:proofErr w:type="spellStart"/>
      <w:r w:rsidR="003F5D99">
        <w:t>támogatott</w:t>
      </w:r>
      <w:proofErr w:type="spellEnd"/>
      <w:r w:rsidR="003F5D99">
        <w:t xml:space="preserve"> </w:t>
      </w:r>
      <w:proofErr w:type="spellStart"/>
      <w:r w:rsidR="003F5D99">
        <w:t>szervezetek</w:t>
      </w:r>
      <w:proofErr w:type="spellEnd"/>
      <w:r w:rsidR="003F5D99">
        <w:t xml:space="preserve"> </w:t>
      </w:r>
      <w:proofErr w:type="spellStart"/>
      <w:r w:rsidR="003F5D99">
        <w:t>átláthatóságáról</w:t>
      </w:r>
      <w:proofErr w:type="spellEnd"/>
      <w:r w:rsidR="003F5D99">
        <w:t>), av</w:t>
      </w:r>
      <w:r w:rsidR="00576A79">
        <w:t xml:space="preserve">ailable at </w:t>
      </w:r>
      <w:r w:rsidR="00576A79" w:rsidRPr="00576A79">
        <w:t>https://njt.hu/jogszabaly/2017-76-00-00</w:t>
      </w:r>
      <w:r w:rsidR="00576A79">
        <w:t>.</w:t>
      </w:r>
    </w:p>
  </w:footnote>
  <w:footnote w:id="47">
    <w:p w14:paraId="22742AC7" w14:textId="59813F27" w:rsidR="005977C1" w:rsidRDefault="005977C1">
      <w:pPr>
        <w:pStyle w:val="Testonotaapidipagina"/>
      </w:pPr>
      <w:r>
        <w:rPr>
          <w:rStyle w:val="Rimandonotaapidipagina"/>
        </w:rPr>
        <w:footnoteRef/>
      </w:r>
      <w:r>
        <w:t xml:space="preserve"> </w:t>
      </w:r>
      <w:r w:rsidRPr="0055056D">
        <w:rPr>
          <w:i/>
          <w:iCs/>
        </w:rPr>
        <w:t>European Commission v. Hungary</w:t>
      </w:r>
      <w:r w:rsidRPr="005977C1">
        <w:t xml:space="preserve">, Case C-78/18, </w:t>
      </w:r>
      <w:r>
        <w:t>Judgment of the Court</w:t>
      </w:r>
      <w:r w:rsidRPr="005977C1">
        <w:t xml:space="preserve"> (Grand Chamber), 18 June 2020</w:t>
      </w:r>
      <w:r w:rsidR="006C28A3">
        <w:t>.</w:t>
      </w:r>
    </w:p>
  </w:footnote>
  <w:footnote w:id="48">
    <w:p w14:paraId="401737FF" w14:textId="0289B78B" w:rsidR="000B19E5" w:rsidRDefault="000B19E5">
      <w:pPr>
        <w:pStyle w:val="Testonotaapidipagina"/>
      </w:pPr>
      <w:r>
        <w:rPr>
          <w:rStyle w:val="Rimandonotaapidipagina"/>
        </w:rPr>
        <w:footnoteRef/>
      </w:r>
      <w:r>
        <w:t xml:space="preserve"> </w:t>
      </w:r>
      <w:r w:rsidRPr="00C44189">
        <w:rPr>
          <w:rFonts w:cs="Arial"/>
          <w:szCs w:val="16"/>
        </w:rPr>
        <w:t xml:space="preserve">Hungarian Helsinki Committee (2021), </w:t>
      </w:r>
      <w:r w:rsidRPr="002E46D9">
        <w:rPr>
          <w:rFonts w:cs="Arial"/>
          <w:szCs w:val="16"/>
        </w:rPr>
        <w:t xml:space="preserve">Shadow report to the GANHRI Sub-Committee on Accreditation on the activities and independence of the Commissioner for Fundamental Rights of Hungary </w:t>
      </w:r>
      <w:proofErr w:type="gramStart"/>
      <w:r w:rsidRPr="002E46D9">
        <w:rPr>
          <w:rFonts w:cs="Arial"/>
          <w:szCs w:val="16"/>
        </w:rPr>
        <w:t>in light of</w:t>
      </w:r>
      <w:proofErr w:type="gramEnd"/>
      <w:r w:rsidRPr="002E46D9">
        <w:rPr>
          <w:rFonts w:cs="Arial"/>
          <w:szCs w:val="16"/>
        </w:rPr>
        <w:t xml:space="preserve"> the requirements set for national human rights institutions</w:t>
      </w:r>
      <w:r w:rsidRPr="00C44189">
        <w:rPr>
          <w:rFonts w:cs="Arial"/>
          <w:szCs w:val="16"/>
        </w:rPr>
        <w:t>, 18 February 2021, p.</w:t>
      </w:r>
      <w:r>
        <w:rPr>
          <w:rFonts w:cs="Arial"/>
          <w:szCs w:val="16"/>
        </w:rPr>
        <w:t>23.</w:t>
      </w:r>
    </w:p>
  </w:footnote>
  <w:footnote w:id="49">
    <w:p w14:paraId="56FF0847" w14:textId="44A9DD58" w:rsidR="00B058D9" w:rsidRDefault="00B058D9">
      <w:pPr>
        <w:pStyle w:val="Testonotaapidipagina"/>
      </w:pPr>
      <w:r>
        <w:rPr>
          <w:rStyle w:val="Rimandonotaapidipagina"/>
        </w:rPr>
        <w:footnoteRef/>
      </w:r>
      <w:r>
        <w:t xml:space="preserve"> </w:t>
      </w:r>
      <w:r w:rsidR="005B7B9D" w:rsidRPr="0057218D">
        <w:t>Act XLIX of 2021 on the transparency of civil organisations capable of influencing public life (</w:t>
      </w:r>
      <w:r w:rsidR="005B7B9D" w:rsidRPr="0055056D">
        <w:t xml:space="preserve">2021. </w:t>
      </w:r>
      <w:proofErr w:type="spellStart"/>
      <w:r w:rsidR="005B7B9D" w:rsidRPr="0055056D">
        <w:t>évi</w:t>
      </w:r>
      <w:proofErr w:type="spellEnd"/>
      <w:r w:rsidR="005B7B9D" w:rsidRPr="0055056D">
        <w:t xml:space="preserve"> XLIX. </w:t>
      </w:r>
      <w:proofErr w:type="spellStart"/>
      <w:r w:rsidR="005B7B9D" w:rsidRPr="0055056D">
        <w:t>törvény</w:t>
      </w:r>
      <w:proofErr w:type="spellEnd"/>
      <w:r w:rsidR="005B7B9D" w:rsidRPr="0055056D">
        <w:t xml:space="preserve"> a </w:t>
      </w:r>
      <w:proofErr w:type="spellStart"/>
      <w:r w:rsidR="005B7B9D" w:rsidRPr="0055056D">
        <w:t>közélet</w:t>
      </w:r>
      <w:proofErr w:type="spellEnd"/>
      <w:r w:rsidR="005B7B9D" w:rsidRPr="0055056D">
        <w:t xml:space="preserve"> </w:t>
      </w:r>
      <w:proofErr w:type="spellStart"/>
      <w:r w:rsidR="005B7B9D" w:rsidRPr="0055056D">
        <w:t>befolyásolására</w:t>
      </w:r>
      <w:proofErr w:type="spellEnd"/>
      <w:r w:rsidR="005B7B9D" w:rsidRPr="0055056D">
        <w:t xml:space="preserve"> </w:t>
      </w:r>
      <w:proofErr w:type="spellStart"/>
      <w:r w:rsidR="005B7B9D" w:rsidRPr="0055056D">
        <w:t>alkalmas</w:t>
      </w:r>
      <w:proofErr w:type="spellEnd"/>
      <w:r w:rsidR="005B7B9D" w:rsidRPr="0055056D">
        <w:t xml:space="preserve"> </w:t>
      </w:r>
      <w:proofErr w:type="spellStart"/>
      <w:r w:rsidR="005B7B9D" w:rsidRPr="0055056D">
        <w:t>tevékenységet</w:t>
      </w:r>
      <w:proofErr w:type="spellEnd"/>
      <w:r w:rsidR="005B7B9D" w:rsidRPr="0055056D">
        <w:t xml:space="preserve"> </w:t>
      </w:r>
      <w:proofErr w:type="spellStart"/>
      <w:r w:rsidR="005B7B9D" w:rsidRPr="0055056D">
        <w:t>végző</w:t>
      </w:r>
      <w:proofErr w:type="spellEnd"/>
      <w:r w:rsidR="005B7B9D" w:rsidRPr="0055056D">
        <w:t xml:space="preserve"> civil </w:t>
      </w:r>
      <w:proofErr w:type="spellStart"/>
      <w:r w:rsidR="005B7B9D" w:rsidRPr="0055056D">
        <w:t>szervezetek</w:t>
      </w:r>
      <w:proofErr w:type="spellEnd"/>
      <w:r w:rsidR="005B7B9D" w:rsidRPr="0055056D">
        <w:t xml:space="preserve"> </w:t>
      </w:r>
      <w:proofErr w:type="spellStart"/>
      <w:r w:rsidR="005B7B9D" w:rsidRPr="0055056D">
        <w:t>átláthatóságáról</w:t>
      </w:r>
      <w:proofErr w:type="spellEnd"/>
      <w:r w:rsidR="005B7B9D" w:rsidRPr="0057218D">
        <w:t>)</w:t>
      </w:r>
      <w:r w:rsidR="005B7B9D">
        <w:rPr>
          <w:rStyle w:val="Collegamentoipertestuale"/>
          <w:szCs w:val="18"/>
        </w:rPr>
        <w:t xml:space="preserve">, available at </w:t>
      </w:r>
      <w:r w:rsidR="005B7B9D" w:rsidRPr="005B7B9D">
        <w:rPr>
          <w:rStyle w:val="Collegamentoipertestuale"/>
          <w:szCs w:val="18"/>
        </w:rPr>
        <w:t>https://njt.hu/jogszabaly/2021-49-00-00</w:t>
      </w:r>
      <w:r w:rsidR="005B7B9D">
        <w:rPr>
          <w:rStyle w:val="Collegamentoipertestuale"/>
          <w:szCs w:val="18"/>
        </w:rPr>
        <w:t>.</w:t>
      </w:r>
    </w:p>
  </w:footnote>
  <w:footnote w:id="50">
    <w:p w14:paraId="1867394E" w14:textId="68C4C99A" w:rsidR="00F53CD6" w:rsidRDefault="00F53CD6">
      <w:pPr>
        <w:pStyle w:val="Testonotaapidipagina"/>
      </w:pPr>
      <w:r>
        <w:rPr>
          <w:rStyle w:val="Rimandonotaapidipagina"/>
        </w:rPr>
        <w:footnoteRef/>
      </w:r>
      <w:r>
        <w:t xml:space="preserve"> </w:t>
      </w:r>
      <w:r w:rsidR="00E6053C" w:rsidRPr="0057218D">
        <w:rPr>
          <w:lang w:val="hu-HU"/>
        </w:rPr>
        <w:t>Hungarian Civil Liberties Union (2021), Statement on the transparency of NGOs capable of influencing public life and on the legislative act modifying certain related legislative acts</w:t>
      </w:r>
      <w:r w:rsidR="00E6053C" w:rsidRPr="0057218D">
        <w:rPr>
          <w:i/>
          <w:iCs/>
          <w:lang w:val="hu-HU"/>
        </w:rPr>
        <w:t xml:space="preserve"> (</w:t>
      </w:r>
      <w:r w:rsidR="00E6053C" w:rsidRPr="0055056D">
        <w:t>Álláspont a közélet befolyásolására alkalmas tevékenységet végző civil szervezetek átláthatóságáról és az ezzel összefüggő egyes törvények módosításáról szóló törvényről</w:t>
      </w:r>
      <w:r w:rsidR="00E6053C" w:rsidRPr="0057218D">
        <w:rPr>
          <w:lang w:val="hu-HU"/>
        </w:rPr>
        <w:t>)</w:t>
      </w:r>
      <w:r w:rsidR="00E6053C">
        <w:rPr>
          <w:lang w:val="hu-HU"/>
        </w:rPr>
        <w:t xml:space="preserve">, available </w:t>
      </w:r>
      <w:r w:rsidR="00E6053C">
        <w:rPr>
          <w:lang w:val="hu-HU"/>
        </w:rPr>
        <w:t xml:space="preserve">at </w:t>
      </w:r>
      <w:r w:rsidR="00ED6B51">
        <w:rPr>
          <w:lang w:val="hu-HU"/>
        </w:rPr>
        <w:fldChar w:fldCharType="begin"/>
      </w:r>
      <w:r w:rsidR="00ED6B51">
        <w:rPr>
          <w:lang w:val="hu-HU"/>
        </w:rPr>
        <w:instrText xml:space="preserve"> HYPERLINK "</w:instrText>
      </w:r>
      <w:r w:rsidR="00ED6B51" w:rsidRPr="00E6053C">
        <w:rPr>
          <w:lang w:val="hu-HU"/>
        </w:rPr>
        <w:instrText>https://tasz.hu/allasfoglalas-civilellenes-torveny-2021</w:instrText>
      </w:r>
      <w:r w:rsidR="00ED6B51">
        <w:rPr>
          <w:lang w:val="hu-HU"/>
        </w:rPr>
        <w:instrText xml:space="preserve">" </w:instrText>
      </w:r>
      <w:r w:rsidR="00ED6B51">
        <w:rPr>
          <w:lang w:val="hu-HU"/>
        </w:rPr>
      </w:r>
      <w:r w:rsidR="00ED6B51">
        <w:rPr>
          <w:lang w:val="hu-HU"/>
        </w:rPr>
        <w:fldChar w:fldCharType="separate"/>
      </w:r>
      <w:r w:rsidR="00ED6B51" w:rsidRPr="00606B05">
        <w:rPr>
          <w:rStyle w:val="Collegamentoipertestuale"/>
          <w:lang w:val="hu-HU"/>
        </w:rPr>
        <w:t>https://tasz.hu/allasfoglalas-civilellenes-torveny-2021</w:t>
      </w:r>
      <w:r w:rsidR="00ED6B51">
        <w:rPr>
          <w:lang w:val="hu-HU"/>
        </w:rPr>
        <w:fldChar w:fldCharType="end"/>
      </w:r>
      <w:r w:rsidR="00ED6B51">
        <w:rPr>
          <w:lang w:val="hu-HU"/>
        </w:rPr>
        <w:t xml:space="preserve">. </w:t>
      </w:r>
      <w:r w:rsidR="00E6053C" w:rsidRPr="0057218D">
        <w:rPr>
          <w:lang w:val="hu-HU"/>
        </w:rPr>
        <w:t xml:space="preserve"> </w:t>
      </w:r>
    </w:p>
  </w:footnote>
  <w:footnote w:id="51">
    <w:p w14:paraId="766A6328" w14:textId="06AD33A6" w:rsidR="002C1C47" w:rsidRDefault="002C1C47" w:rsidP="009728D2">
      <w:pPr>
        <w:pStyle w:val="Testonotaapidipagina"/>
      </w:pPr>
      <w:r>
        <w:rPr>
          <w:rStyle w:val="Rimandonotaapidipagina"/>
        </w:rPr>
        <w:footnoteRef/>
      </w:r>
      <w:r>
        <w:t xml:space="preserve"> </w:t>
      </w:r>
      <w:r w:rsidR="008603E5" w:rsidRPr="008603E5">
        <w:t>Act VI of 2018 amending certain laws relating to measures against illegal immigration</w:t>
      </w:r>
      <w:r w:rsidR="008603E5">
        <w:t xml:space="preserve"> (</w:t>
      </w:r>
      <w:r w:rsidR="009728D2" w:rsidRPr="0055056D">
        <w:rPr>
          <w:i/>
          <w:iCs/>
        </w:rPr>
        <w:t xml:space="preserve">2018. </w:t>
      </w:r>
      <w:proofErr w:type="spellStart"/>
      <w:r w:rsidR="009728D2" w:rsidRPr="0055056D">
        <w:rPr>
          <w:i/>
          <w:iCs/>
        </w:rPr>
        <w:t>évi</w:t>
      </w:r>
      <w:proofErr w:type="spellEnd"/>
      <w:r w:rsidR="009728D2" w:rsidRPr="0055056D">
        <w:rPr>
          <w:i/>
          <w:iCs/>
        </w:rPr>
        <w:t xml:space="preserve"> VI. </w:t>
      </w:r>
      <w:proofErr w:type="spellStart"/>
      <w:r w:rsidR="009728D2" w:rsidRPr="0055056D">
        <w:rPr>
          <w:i/>
          <w:iCs/>
        </w:rPr>
        <w:t>Törvény</w:t>
      </w:r>
      <w:proofErr w:type="spellEnd"/>
      <w:r w:rsidR="009728D2" w:rsidRPr="0055056D">
        <w:rPr>
          <w:i/>
          <w:iCs/>
        </w:rPr>
        <w:t xml:space="preserve"> </w:t>
      </w:r>
      <w:proofErr w:type="spellStart"/>
      <w:r w:rsidR="009728D2" w:rsidRPr="0055056D">
        <w:rPr>
          <w:i/>
          <w:iCs/>
        </w:rPr>
        <w:t>egyes</w:t>
      </w:r>
      <w:proofErr w:type="spellEnd"/>
      <w:r w:rsidR="009728D2" w:rsidRPr="0055056D">
        <w:rPr>
          <w:i/>
          <w:iCs/>
        </w:rPr>
        <w:t xml:space="preserve"> </w:t>
      </w:r>
      <w:proofErr w:type="spellStart"/>
      <w:r w:rsidR="009728D2" w:rsidRPr="0055056D">
        <w:rPr>
          <w:i/>
          <w:iCs/>
        </w:rPr>
        <w:t>törvényeknek</w:t>
      </w:r>
      <w:proofErr w:type="spellEnd"/>
      <w:r w:rsidR="009728D2" w:rsidRPr="0055056D">
        <w:rPr>
          <w:i/>
          <w:iCs/>
        </w:rPr>
        <w:t xml:space="preserve"> a </w:t>
      </w:r>
      <w:proofErr w:type="spellStart"/>
      <w:r w:rsidR="009728D2" w:rsidRPr="0055056D">
        <w:rPr>
          <w:i/>
          <w:iCs/>
        </w:rPr>
        <w:t>jogellenes</w:t>
      </w:r>
      <w:proofErr w:type="spellEnd"/>
      <w:r w:rsidR="009728D2" w:rsidRPr="0055056D">
        <w:rPr>
          <w:i/>
          <w:iCs/>
        </w:rPr>
        <w:t xml:space="preserve"> </w:t>
      </w:r>
      <w:proofErr w:type="spellStart"/>
      <w:r w:rsidR="009728D2" w:rsidRPr="0055056D">
        <w:rPr>
          <w:i/>
          <w:iCs/>
        </w:rPr>
        <w:t>bevándorlás</w:t>
      </w:r>
      <w:proofErr w:type="spellEnd"/>
      <w:r w:rsidR="009728D2" w:rsidRPr="0055056D">
        <w:rPr>
          <w:i/>
          <w:iCs/>
        </w:rPr>
        <w:t xml:space="preserve"> </w:t>
      </w:r>
      <w:proofErr w:type="spellStart"/>
      <w:r w:rsidR="009728D2" w:rsidRPr="0055056D">
        <w:rPr>
          <w:i/>
          <w:iCs/>
        </w:rPr>
        <w:t>elleni</w:t>
      </w:r>
      <w:proofErr w:type="spellEnd"/>
      <w:r w:rsidR="009728D2" w:rsidRPr="0055056D">
        <w:rPr>
          <w:i/>
          <w:iCs/>
        </w:rPr>
        <w:t xml:space="preserve"> </w:t>
      </w:r>
      <w:proofErr w:type="spellStart"/>
      <w:r w:rsidR="009728D2" w:rsidRPr="0055056D">
        <w:rPr>
          <w:i/>
          <w:iCs/>
        </w:rPr>
        <w:t>intézkedésekkel</w:t>
      </w:r>
      <w:proofErr w:type="spellEnd"/>
      <w:r w:rsidR="009728D2" w:rsidRPr="0055056D">
        <w:rPr>
          <w:i/>
          <w:iCs/>
        </w:rPr>
        <w:t xml:space="preserve"> </w:t>
      </w:r>
      <w:proofErr w:type="spellStart"/>
      <w:r w:rsidR="009728D2" w:rsidRPr="0055056D">
        <w:rPr>
          <w:i/>
          <w:iCs/>
        </w:rPr>
        <w:t>kapcsolatos</w:t>
      </w:r>
      <w:proofErr w:type="spellEnd"/>
      <w:r w:rsidR="009728D2" w:rsidRPr="0055056D">
        <w:rPr>
          <w:i/>
          <w:iCs/>
        </w:rPr>
        <w:t xml:space="preserve"> </w:t>
      </w:r>
      <w:proofErr w:type="spellStart"/>
      <w:r w:rsidR="009728D2" w:rsidRPr="0055056D">
        <w:rPr>
          <w:i/>
          <w:iCs/>
        </w:rPr>
        <w:t>módosításáról</w:t>
      </w:r>
      <w:proofErr w:type="spellEnd"/>
      <w:r w:rsidR="008603E5">
        <w:t xml:space="preserve">), available at </w:t>
      </w:r>
      <w:r w:rsidR="00536231" w:rsidRPr="00536231">
        <w:t>https://njt.hu/jogszabaly/2018-6-00-00</w:t>
      </w:r>
      <w:r w:rsidR="00536231">
        <w:t>.</w:t>
      </w:r>
    </w:p>
  </w:footnote>
  <w:footnote w:id="52">
    <w:p w14:paraId="4A78E4F2" w14:textId="79A5C339" w:rsidR="00536231" w:rsidRDefault="00536231">
      <w:pPr>
        <w:pStyle w:val="Testonotaapidipagina"/>
      </w:pPr>
      <w:r>
        <w:rPr>
          <w:rStyle w:val="Rimandonotaapidipagina"/>
        </w:rPr>
        <w:footnoteRef/>
      </w:r>
      <w:r>
        <w:t xml:space="preserve"> </w:t>
      </w:r>
      <w:r w:rsidR="004E6D99" w:rsidRPr="0055056D">
        <w:rPr>
          <w:i/>
          <w:iCs/>
        </w:rPr>
        <w:t>Commission v Hungary</w:t>
      </w:r>
      <w:r w:rsidR="004E6D99">
        <w:t xml:space="preserve">, Case C-821/19, </w:t>
      </w:r>
      <w:r w:rsidR="004E6D99" w:rsidRPr="004E6D99">
        <w:t>Judgment of 16 November 2021</w:t>
      </w:r>
      <w:r w:rsidR="004E6D99">
        <w:t>.</w:t>
      </w:r>
    </w:p>
  </w:footnote>
  <w:footnote w:id="53">
    <w:p w14:paraId="31178AC9" w14:textId="569E2EFE" w:rsidR="001E40F4" w:rsidRDefault="001E40F4">
      <w:pPr>
        <w:pStyle w:val="Testonotaapidipagina"/>
      </w:pPr>
      <w:r>
        <w:rPr>
          <w:rStyle w:val="Rimandonotaapidipagina"/>
        </w:rPr>
        <w:footnoteRef/>
      </w:r>
      <w:r>
        <w:t xml:space="preserve"> </w:t>
      </w:r>
      <w:r w:rsidR="002B6DC0" w:rsidRPr="00C44189">
        <w:rPr>
          <w:rFonts w:cs="Arial"/>
          <w:szCs w:val="16"/>
        </w:rPr>
        <w:t>Commission Staff Working Document, 2022 Rule of Law Report, Country Chapter on the rule of law situation in Hungary, p</w:t>
      </w:r>
      <w:r w:rsidR="002B6DC0">
        <w:rPr>
          <w:rFonts w:cs="Arial"/>
          <w:szCs w:val="16"/>
        </w:rPr>
        <w:t>. 29.</w:t>
      </w:r>
    </w:p>
  </w:footnote>
  <w:footnote w:id="54">
    <w:p w14:paraId="5AE6E894" w14:textId="53EE875A" w:rsidR="0017068F" w:rsidRPr="00C44189" w:rsidRDefault="00D1288E" w:rsidP="00AA1605">
      <w:pPr>
        <w:pStyle w:val="Testonotaapidipagina"/>
        <w:jc w:val="both"/>
        <w:rPr>
          <w:rFonts w:cs="Arial"/>
          <w:szCs w:val="16"/>
        </w:rPr>
      </w:pPr>
      <w:r w:rsidRPr="00C44189">
        <w:rPr>
          <w:rFonts w:cs="Arial"/>
          <w:szCs w:val="16"/>
        </w:rPr>
        <w:t xml:space="preserve"> </w:t>
      </w:r>
      <w:r w:rsidR="0017068F" w:rsidRPr="00C44189">
        <w:rPr>
          <w:rStyle w:val="Rimandonotaapidipagina"/>
          <w:rFonts w:ascii="Arial" w:hAnsi="Arial" w:cs="Arial"/>
          <w:szCs w:val="16"/>
        </w:rPr>
        <w:footnoteRef/>
      </w:r>
      <w:r w:rsidR="0017068F" w:rsidRPr="00C44189">
        <w:rPr>
          <w:rFonts w:cs="Arial"/>
          <w:szCs w:val="16"/>
        </w:rPr>
        <w:t xml:space="preserve"> </w:t>
      </w:r>
      <w:r w:rsidR="0017068F" w:rsidRPr="00C44189">
        <w:rPr>
          <w:rFonts w:cs="Arial"/>
          <w:szCs w:val="16"/>
          <w:lang w:val="hu-HU"/>
        </w:rPr>
        <w:t>Act no. CXI of 2011 on the Commissioner for Fundamental Rights (</w:t>
      </w:r>
      <w:r w:rsidR="008C7727" w:rsidRPr="0055056D">
        <w:rPr>
          <w:rFonts w:cs="Arial"/>
          <w:szCs w:val="16"/>
        </w:rPr>
        <w:t xml:space="preserve">Az </w:t>
      </w:r>
      <w:proofErr w:type="spellStart"/>
      <w:r w:rsidR="008C7727" w:rsidRPr="0055056D">
        <w:rPr>
          <w:rFonts w:cs="Arial"/>
          <w:szCs w:val="16"/>
        </w:rPr>
        <w:t>alapvető</w:t>
      </w:r>
      <w:proofErr w:type="spellEnd"/>
      <w:r w:rsidR="008C7727" w:rsidRPr="0055056D">
        <w:rPr>
          <w:rFonts w:cs="Arial"/>
          <w:szCs w:val="16"/>
        </w:rPr>
        <w:t xml:space="preserve"> </w:t>
      </w:r>
      <w:proofErr w:type="spellStart"/>
      <w:r w:rsidR="008C7727" w:rsidRPr="0055056D">
        <w:rPr>
          <w:rFonts w:cs="Arial"/>
          <w:szCs w:val="16"/>
        </w:rPr>
        <w:t>jogok</w:t>
      </w:r>
      <w:proofErr w:type="spellEnd"/>
      <w:r w:rsidR="008C7727" w:rsidRPr="0055056D">
        <w:rPr>
          <w:rFonts w:cs="Arial"/>
          <w:szCs w:val="16"/>
        </w:rPr>
        <w:t xml:space="preserve"> </w:t>
      </w:r>
      <w:proofErr w:type="spellStart"/>
      <w:r w:rsidR="008C7727" w:rsidRPr="0055056D">
        <w:rPr>
          <w:rFonts w:cs="Arial"/>
          <w:szCs w:val="16"/>
        </w:rPr>
        <w:t>biztosáról</w:t>
      </w:r>
      <w:proofErr w:type="spellEnd"/>
      <w:r w:rsidR="008C7727" w:rsidRPr="0055056D">
        <w:rPr>
          <w:rFonts w:cs="Arial"/>
          <w:szCs w:val="16"/>
        </w:rPr>
        <w:t xml:space="preserve"> </w:t>
      </w:r>
      <w:proofErr w:type="spellStart"/>
      <w:r w:rsidR="008C7727" w:rsidRPr="0055056D">
        <w:rPr>
          <w:rFonts w:cs="Arial"/>
          <w:szCs w:val="16"/>
        </w:rPr>
        <w:t>szóló</w:t>
      </w:r>
      <w:proofErr w:type="spellEnd"/>
      <w:r w:rsidR="008C7727" w:rsidRPr="0055056D">
        <w:rPr>
          <w:rFonts w:cs="Arial"/>
          <w:szCs w:val="16"/>
        </w:rPr>
        <w:t xml:space="preserve"> 2011. évi CXI. törvény</w:t>
      </w:r>
      <w:r w:rsidR="0017068F" w:rsidRPr="00C44189">
        <w:rPr>
          <w:rFonts w:cs="Arial"/>
          <w:szCs w:val="16"/>
          <w:lang w:val="hu-HU"/>
        </w:rPr>
        <w:t>)</w:t>
      </w:r>
      <w:r w:rsidR="008C7727" w:rsidRPr="00C44189">
        <w:rPr>
          <w:rFonts w:cs="Arial"/>
          <w:szCs w:val="16"/>
          <w:lang w:val="hu-HU"/>
        </w:rPr>
        <w:t>, available at https://njt.hu/jogszabaly/2011-111-00-00.</w:t>
      </w:r>
    </w:p>
  </w:footnote>
  <w:footnote w:id="55">
    <w:p w14:paraId="69CABC65" w14:textId="741BD648" w:rsidR="00FD1EAA" w:rsidRPr="00C44189" w:rsidRDefault="00FD1EAA"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651BC7" w:rsidRPr="00C44189">
        <w:rPr>
          <w:rFonts w:cs="Arial"/>
          <w:szCs w:val="16"/>
        </w:rPr>
        <w:t xml:space="preserve">Article 1 of </w:t>
      </w:r>
      <w:r w:rsidR="00B94B0C" w:rsidRPr="00C44189">
        <w:rPr>
          <w:rFonts w:cs="Arial"/>
          <w:szCs w:val="16"/>
          <w:lang w:val="hu-HU"/>
        </w:rPr>
        <w:t>Act no. CXI of 2011 on the Commissioner for Fundamental Rights.</w:t>
      </w:r>
    </w:p>
  </w:footnote>
  <w:footnote w:id="56">
    <w:p w14:paraId="747434FE" w14:textId="55C6EE2B" w:rsidR="0011169E" w:rsidRPr="00C44189" w:rsidRDefault="0011169E"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2E5C0A" w:rsidRPr="00C44189">
        <w:rPr>
          <w:rFonts w:cs="Arial"/>
          <w:szCs w:val="16"/>
        </w:rPr>
        <w:t xml:space="preserve">See webpage of the </w:t>
      </w:r>
      <w:r w:rsidR="0077557E" w:rsidRPr="00C44189">
        <w:rPr>
          <w:rFonts w:cs="Arial"/>
          <w:szCs w:val="16"/>
        </w:rPr>
        <w:t xml:space="preserve">Office of the Commissioner for </w:t>
      </w:r>
      <w:r w:rsidR="0017308D" w:rsidRPr="00C44189">
        <w:rPr>
          <w:rFonts w:cs="Arial"/>
          <w:szCs w:val="16"/>
        </w:rPr>
        <w:t xml:space="preserve">Fundamental </w:t>
      </w:r>
      <w:r w:rsidR="00A73B02" w:rsidRPr="00C44189">
        <w:rPr>
          <w:rFonts w:cs="Arial"/>
          <w:szCs w:val="16"/>
        </w:rPr>
        <w:t xml:space="preserve">Rights </w:t>
      </w:r>
      <w:r w:rsidR="00147525" w:rsidRPr="00C44189">
        <w:rPr>
          <w:rFonts w:cs="Arial"/>
          <w:szCs w:val="16"/>
        </w:rPr>
        <w:t>of Hungary</w:t>
      </w:r>
      <w:r w:rsidR="002E5C0A" w:rsidRPr="00C44189">
        <w:rPr>
          <w:rFonts w:cs="Arial"/>
          <w:szCs w:val="16"/>
        </w:rPr>
        <w:t xml:space="preserve"> at https://www.ajbh.hu/web/ajbh-en/about-the-office</w:t>
      </w:r>
      <w:r w:rsidR="00D7366F" w:rsidRPr="00C44189">
        <w:rPr>
          <w:rFonts w:cs="Arial"/>
          <w:szCs w:val="16"/>
        </w:rPr>
        <w:t xml:space="preserve">; </w:t>
      </w:r>
      <w:r w:rsidR="002E5C0A" w:rsidRPr="00C44189">
        <w:rPr>
          <w:rFonts w:cs="Arial"/>
          <w:szCs w:val="16"/>
        </w:rPr>
        <w:t xml:space="preserve">See also </w:t>
      </w:r>
      <w:r w:rsidR="00D7366F" w:rsidRPr="00C44189">
        <w:rPr>
          <w:rFonts w:cs="Arial"/>
          <w:szCs w:val="16"/>
        </w:rPr>
        <w:t>Act CLXV of 2013 on Complaints and Public Interest Disclosures</w:t>
      </w:r>
      <w:r w:rsidR="00342232" w:rsidRPr="00C44189">
        <w:rPr>
          <w:rFonts w:cs="Arial"/>
          <w:szCs w:val="16"/>
        </w:rPr>
        <w:t xml:space="preserve"> (</w:t>
      </w:r>
      <w:r w:rsidR="008C7727" w:rsidRPr="0055056D">
        <w:rPr>
          <w:rFonts w:cs="Arial"/>
          <w:szCs w:val="16"/>
        </w:rPr>
        <w:t xml:space="preserve">2013. </w:t>
      </w:r>
      <w:proofErr w:type="spellStart"/>
      <w:r w:rsidR="008C7727" w:rsidRPr="0055056D">
        <w:rPr>
          <w:rFonts w:cs="Arial"/>
          <w:szCs w:val="16"/>
        </w:rPr>
        <w:t>évi</w:t>
      </w:r>
      <w:proofErr w:type="spellEnd"/>
      <w:r w:rsidR="008C7727" w:rsidRPr="0055056D">
        <w:rPr>
          <w:rFonts w:cs="Arial"/>
          <w:szCs w:val="16"/>
        </w:rPr>
        <w:t xml:space="preserve"> CLXV. </w:t>
      </w:r>
      <w:proofErr w:type="spellStart"/>
      <w:r w:rsidR="008C7727" w:rsidRPr="0055056D">
        <w:rPr>
          <w:rFonts w:cs="Arial"/>
          <w:szCs w:val="16"/>
        </w:rPr>
        <w:t>Törvény</w:t>
      </w:r>
      <w:proofErr w:type="spellEnd"/>
      <w:r w:rsidR="008C7727" w:rsidRPr="0055056D">
        <w:rPr>
          <w:rFonts w:cs="Arial"/>
          <w:szCs w:val="16"/>
        </w:rPr>
        <w:t xml:space="preserve"> a </w:t>
      </w:r>
      <w:proofErr w:type="spellStart"/>
      <w:r w:rsidR="008C7727" w:rsidRPr="0055056D">
        <w:rPr>
          <w:rFonts w:cs="Arial"/>
          <w:szCs w:val="16"/>
        </w:rPr>
        <w:t>panaszokról</w:t>
      </w:r>
      <w:proofErr w:type="spellEnd"/>
      <w:r w:rsidR="008C7727" w:rsidRPr="0055056D">
        <w:rPr>
          <w:rFonts w:cs="Arial"/>
          <w:szCs w:val="16"/>
        </w:rPr>
        <w:t xml:space="preserve"> </w:t>
      </w:r>
      <w:proofErr w:type="spellStart"/>
      <w:r w:rsidR="008C7727" w:rsidRPr="0055056D">
        <w:rPr>
          <w:rFonts w:cs="Arial"/>
          <w:szCs w:val="16"/>
        </w:rPr>
        <w:t>és</w:t>
      </w:r>
      <w:proofErr w:type="spellEnd"/>
      <w:r w:rsidR="008C7727" w:rsidRPr="0055056D">
        <w:rPr>
          <w:rFonts w:cs="Arial"/>
          <w:szCs w:val="16"/>
        </w:rPr>
        <w:t xml:space="preserve"> a </w:t>
      </w:r>
      <w:proofErr w:type="spellStart"/>
      <w:r w:rsidR="008C7727" w:rsidRPr="0055056D">
        <w:rPr>
          <w:rFonts w:cs="Arial"/>
          <w:szCs w:val="16"/>
        </w:rPr>
        <w:t>közérdekű</w:t>
      </w:r>
      <w:proofErr w:type="spellEnd"/>
      <w:r w:rsidR="008C7727" w:rsidRPr="0055056D">
        <w:rPr>
          <w:rFonts w:cs="Arial"/>
          <w:szCs w:val="16"/>
        </w:rPr>
        <w:t xml:space="preserve"> </w:t>
      </w:r>
      <w:proofErr w:type="spellStart"/>
      <w:r w:rsidR="008C7727" w:rsidRPr="0055056D">
        <w:rPr>
          <w:rFonts w:cs="Arial"/>
          <w:szCs w:val="16"/>
        </w:rPr>
        <w:t>bejelentésekről</w:t>
      </w:r>
      <w:proofErr w:type="spellEnd"/>
      <w:r w:rsidR="00096DAC" w:rsidRPr="00C44189">
        <w:rPr>
          <w:rFonts w:cs="Arial"/>
          <w:szCs w:val="16"/>
        </w:rPr>
        <w:t>)</w:t>
      </w:r>
      <w:r w:rsidR="008C7727" w:rsidRPr="00C44189">
        <w:rPr>
          <w:rFonts w:cs="Arial"/>
          <w:szCs w:val="16"/>
        </w:rPr>
        <w:t xml:space="preserve">, available </w:t>
      </w:r>
      <w:r w:rsidR="00AE3154" w:rsidRPr="00C44189">
        <w:rPr>
          <w:rFonts w:cs="Arial"/>
          <w:szCs w:val="16"/>
        </w:rPr>
        <w:t>at https://njt.hu/jogszabaly/2013-165-00-00.</w:t>
      </w:r>
    </w:p>
  </w:footnote>
  <w:footnote w:id="57">
    <w:p w14:paraId="4D81F257" w14:textId="10DB73C4" w:rsidR="00D83FF7" w:rsidRPr="00C44189" w:rsidRDefault="00D83FF7"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2121A4" w:rsidRPr="00C44189">
        <w:rPr>
          <w:rFonts w:cs="Arial"/>
          <w:szCs w:val="16"/>
        </w:rPr>
        <w:t>Commission Staff Working Document</w:t>
      </w:r>
      <w:r w:rsidR="007D2D30" w:rsidRPr="00C44189">
        <w:rPr>
          <w:rFonts w:cs="Arial"/>
          <w:szCs w:val="16"/>
        </w:rPr>
        <w:t xml:space="preserve">, </w:t>
      </w:r>
      <w:hyperlink r:id="rId26" w:history="1">
        <w:r w:rsidR="00467BE7" w:rsidRPr="00C44189">
          <w:rPr>
            <w:rFonts w:cs="Arial"/>
            <w:szCs w:val="16"/>
          </w:rPr>
          <w:t>2022 Rule of Law Report, Country Chapter on the rule of law situation in Hungary</w:t>
        </w:r>
        <w:r w:rsidR="007D2D30" w:rsidRPr="00C44189">
          <w:rPr>
            <w:rStyle w:val="Collegamentoipertestuale"/>
            <w:rFonts w:cs="Arial"/>
            <w:szCs w:val="16"/>
          </w:rPr>
          <w:t>,</w:t>
        </w:r>
      </w:hyperlink>
      <w:r w:rsidR="007D2D30" w:rsidRPr="00C44189">
        <w:rPr>
          <w:rFonts w:cs="Arial"/>
          <w:szCs w:val="16"/>
        </w:rPr>
        <w:t xml:space="preserve"> </w:t>
      </w:r>
      <w:r w:rsidR="00467BE7" w:rsidRPr="00C44189">
        <w:rPr>
          <w:rFonts w:cs="Arial"/>
          <w:szCs w:val="16"/>
        </w:rPr>
        <w:t>p.</w:t>
      </w:r>
      <w:r w:rsidR="00155D0C" w:rsidRPr="00C44189">
        <w:rPr>
          <w:rFonts w:cs="Arial"/>
          <w:szCs w:val="16"/>
        </w:rPr>
        <w:t>18</w:t>
      </w:r>
      <w:r w:rsidR="007D2D30" w:rsidRPr="00C44189">
        <w:rPr>
          <w:rFonts w:cs="Arial"/>
          <w:szCs w:val="16"/>
        </w:rPr>
        <w:t>.</w:t>
      </w:r>
    </w:p>
  </w:footnote>
  <w:footnote w:id="58">
    <w:p w14:paraId="72467539" w14:textId="229F38D5" w:rsidR="00847B25" w:rsidRPr="00C44189" w:rsidRDefault="00847B25"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25546C" w:rsidRPr="00C44189">
        <w:rPr>
          <w:rFonts w:cs="Arial"/>
          <w:szCs w:val="16"/>
        </w:rPr>
        <w:t>Article 38/E</w:t>
      </w:r>
      <w:r w:rsidR="00F964A8" w:rsidRPr="00C44189">
        <w:rPr>
          <w:rFonts w:cs="Arial"/>
          <w:szCs w:val="16"/>
        </w:rPr>
        <w:t xml:space="preserve"> of Act no. CXI of 2011 on the Commissioner for Fundamental Rights.</w:t>
      </w:r>
    </w:p>
  </w:footnote>
  <w:footnote w:id="59">
    <w:p w14:paraId="683F80FC" w14:textId="4DF4EDD6" w:rsidR="00847B25" w:rsidRPr="00C44189" w:rsidRDefault="00847B25"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440D51" w:rsidRPr="00C44189">
        <w:rPr>
          <w:rFonts w:cs="Arial"/>
          <w:szCs w:val="16"/>
        </w:rPr>
        <w:t xml:space="preserve">Act </w:t>
      </w:r>
      <w:r w:rsidR="00C67362" w:rsidRPr="00C44189">
        <w:rPr>
          <w:rFonts w:cs="Arial"/>
          <w:szCs w:val="16"/>
        </w:rPr>
        <w:t>CXXV</w:t>
      </w:r>
      <w:r w:rsidR="00440D51" w:rsidRPr="00C44189">
        <w:rPr>
          <w:rFonts w:cs="Arial"/>
          <w:szCs w:val="16"/>
        </w:rPr>
        <w:t xml:space="preserve"> of 1995 on National Security Services (</w:t>
      </w:r>
      <w:r w:rsidR="00690097" w:rsidRPr="0055056D">
        <w:rPr>
          <w:rFonts w:cs="Arial"/>
          <w:szCs w:val="16"/>
        </w:rPr>
        <w:t xml:space="preserve">1995. </w:t>
      </w:r>
      <w:proofErr w:type="spellStart"/>
      <w:r w:rsidR="00690097" w:rsidRPr="0055056D">
        <w:rPr>
          <w:rFonts w:cs="Arial"/>
          <w:szCs w:val="16"/>
        </w:rPr>
        <w:t>évi</w:t>
      </w:r>
      <w:proofErr w:type="spellEnd"/>
      <w:r w:rsidR="00690097" w:rsidRPr="0055056D">
        <w:rPr>
          <w:rFonts w:cs="Arial"/>
          <w:szCs w:val="16"/>
        </w:rPr>
        <w:t xml:space="preserve"> CXXV. </w:t>
      </w:r>
      <w:proofErr w:type="spellStart"/>
      <w:r w:rsidR="00690097" w:rsidRPr="0055056D">
        <w:rPr>
          <w:rFonts w:cs="Arial"/>
          <w:szCs w:val="16"/>
        </w:rPr>
        <w:t>törvény</w:t>
      </w:r>
      <w:proofErr w:type="spellEnd"/>
      <w:r w:rsidR="00690097" w:rsidRPr="0055056D">
        <w:rPr>
          <w:rFonts w:cs="Arial"/>
          <w:szCs w:val="16"/>
        </w:rPr>
        <w:t xml:space="preserve"> a </w:t>
      </w:r>
      <w:proofErr w:type="spellStart"/>
      <w:r w:rsidR="00690097" w:rsidRPr="0055056D">
        <w:rPr>
          <w:rFonts w:cs="Arial"/>
          <w:szCs w:val="16"/>
        </w:rPr>
        <w:t>nemzetbiztonsági</w:t>
      </w:r>
      <w:proofErr w:type="spellEnd"/>
      <w:r w:rsidR="00690097" w:rsidRPr="0055056D">
        <w:rPr>
          <w:rFonts w:cs="Arial"/>
          <w:szCs w:val="16"/>
        </w:rPr>
        <w:t xml:space="preserve"> </w:t>
      </w:r>
      <w:proofErr w:type="spellStart"/>
      <w:r w:rsidR="00690097" w:rsidRPr="0055056D">
        <w:rPr>
          <w:rFonts w:cs="Arial"/>
          <w:szCs w:val="16"/>
        </w:rPr>
        <w:t>szolgálatokról</w:t>
      </w:r>
      <w:proofErr w:type="spellEnd"/>
      <w:r w:rsidR="00440D51" w:rsidRPr="00C44189">
        <w:rPr>
          <w:rFonts w:cs="Arial"/>
          <w:szCs w:val="16"/>
        </w:rPr>
        <w:t>)</w:t>
      </w:r>
      <w:r w:rsidR="00690097" w:rsidRPr="00C44189">
        <w:rPr>
          <w:rFonts w:cs="Arial"/>
          <w:szCs w:val="16"/>
        </w:rPr>
        <w:t>, available at https://njt.hu/jogszabaly/1995-125-00-00.44.</w:t>
      </w:r>
    </w:p>
  </w:footnote>
  <w:footnote w:id="60">
    <w:p w14:paraId="7E300DDE" w14:textId="640DC34A" w:rsidR="00967114" w:rsidRPr="00C44189" w:rsidRDefault="00967114"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00F964A8" w:rsidRPr="00C44189">
        <w:rPr>
          <w:rFonts w:cs="Arial"/>
          <w:szCs w:val="16"/>
        </w:rPr>
        <w:t>Article</w:t>
      </w:r>
      <w:r w:rsidRPr="00C44189">
        <w:rPr>
          <w:rFonts w:cs="Arial"/>
          <w:szCs w:val="16"/>
        </w:rPr>
        <w:t xml:space="preserve"> 23(7)</w:t>
      </w:r>
      <w:r w:rsidR="00F964A8" w:rsidRPr="00C44189">
        <w:rPr>
          <w:rFonts w:cs="Arial"/>
          <w:szCs w:val="16"/>
        </w:rPr>
        <w:t xml:space="preserve"> of </w:t>
      </w:r>
      <w:r w:rsidR="00F964A8" w:rsidRPr="00C44189">
        <w:rPr>
          <w:rFonts w:cs="Arial"/>
          <w:szCs w:val="16"/>
          <w:lang w:val="hu-HU"/>
        </w:rPr>
        <w:t>Act no. CXI of 2011 on the Commissioner for Fundamental Rights</w:t>
      </w:r>
      <w:r w:rsidRPr="00C44189">
        <w:rPr>
          <w:rFonts w:cs="Arial"/>
          <w:szCs w:val="16"/>
        </w:rPr>
        <w:t>.</w:t>
      </w:r>
    </w:p>
  </w:footnote>
  <w:footnote w:id="61">
    <w:p w14:paraId="69D281B3" w14:textId="74772872" w:rsidR="00E07129" w:rsidRPr="00C44189" w:rsidRDefault="00E07129"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113461" w:rsidRPr="00C44189">
        <w:rPr>
          <w:rFonts w:cs="Arial"/>
          <w:szCs w:val="16"/>
        </w:rPr>
        <w:t>Article 2</w:t>
      </w:r>
      <w:r w:rsidR="001C4E3A" w:rsidRPr="00C44189">
        <w:rPr>
          <w:rFonts w:cs="Arial"/>
          <w:szCs w:val="16"/>
        </w:rPr>
        <w:t xml:space="preserve">, paragraph 2 of </w:t>
      </w:r>
      <w:r w:rsidR="001C4E3A" w:rsidRPr="00C44189">
        <w:rPr>
          <w:rFonts w:cs="Arial"/>
          <w:szCs w:val="16"/>
          <w:lang w:val="hu-HU"/>
        </w:rPr>
        <w:t>Act no. CXI of 2011 on the Commissioner for Fundamental Rights.</w:t>
      </w:r>
    </w:p>
  </w:footnote>
  <w:footnote w:id="62">
    <w:p w14:paraId="71B113E1" w14:textId="33C20B84" w:rsidR="009E58D7" w:rsidRPr="00C44189" w:rsidRDefault="009E58D7"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BC50B4" w:rsidRPr="00C44189">
        <w:rPr>
          <w:rFonts w:cs="Arial"/>
          <w:szCs w:val="16"/>
        </w:rPr>
        <w:t xml:space="preserve">Article 2, paragraph 3 of </w:t>
      </w:r>
      <w:r w:rsidR="00BC50B4" w:rsidRPr="00C44189">
        <w:rPr>
          <w:rFonts w:cs="Arial"/>
          <w:szCs w:val="16"/>
          <w:lang w:val="hu-HU"/>
        </w:rPr>
        <w:t>Act no. CXI of 2011 on the Commissioner for Fundamental Rights</w:t>
      </w:r>
    </w:p>
  </w:footnote>
  <w:footnote w:id="63">
    <w:p w14:paraId="2671C56C" w14:textId="77777777" w:rsidR="000D53A7" w:rsidRPr="00C44189" w:rsidRDefault="000D53A7" w:rsidP="00AA1605">
      <w:pPr>
        <w:jc w:val="both"/>
        <w:rPr>
          <w:rFonts w:ascii="Arial" w:hAnsi="Arial" w:cs="Arial"/>
          <w:sz w:val="16"/>
          <w:szCs w:val="16"/>
        </w:rPr>
      </w:pPr>
      <w:r w:rsidRPr="00C44189">
        <w:rPr>
          <w:rStyle w:val="Rimandonotaapidipagina"/>
          <w:rFonts w:ascii="Arial" w:hAnsi="Arial" w:cs="Arial"/>
          <w:szCs w:val="16"/>
        </w:rPr>
        <w:footnoteRef/>
      </w:r>
      <w:r w:rsidRPr="00C44189">
        <w:rPr>
          <w:rFonts w:ascii="Arial" w:hAnsi="Arial" w:cs="Arial"/>
          <w:sz w:val="16"/>
          <w:szCs w:val="16"/>
        </w:rPr>
        <w:t xml:space="preserve"> The </w:t>
      </w:r>
      <w:hyperlink r:id="rId27" w:anchor=":~:text=The%20Paris%20Principles%20('Principles%20Relating,are%20pluralism%2C%20independence%20and%20effectiveness." w:history="1">
        <w:r w:rsidRPr="00C44189">
          <w:rPr>
            <w:rStyle w:val="Collegamentoipertestuale"/>
            <w:rFonts w:ascii="Arial" w:hAnsi="Arial" w:cs="Arial"/>
            <w:sz w:val="16"/>
            <w:szCs w:val="16"/>
          </w:rPr>
          <w:t>Paris Principles</w:t>
        </w:r>
      </w:hyperlink>
      <w:r w:rsidRPr="00C44189">
        <w:rPr>
          <w:rFonts w:ascii="Arial" w:hAnsi="Arial" w:cs="Arial"/>
          <w:sz w:val="16"/>
          <w:szCs w:val="16"/>
        </w:rPr>
        <w:t xml:space="preserve"> (‘Principles Relating to the Status of National Human Rights Institutions’) set out the minimum standards that NHRIs must meet in order to be considered credible and to operate effectively.</w:t>
      </w:r>
    </w:p>
  </w:footnote>
  <w:footnote w:id="64">
    <w:p w14:paraId="0BA5DC38" w14:textId="7E983113" w:rsidR="0085513A" w:rsidRPr="00C44189" w:rsidRDefault="0085513A"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European Commission for Democracy through Law (Venice Commission) (2021), </w:t>
      </w:r>
      <w:r w:rsidR="00D475BF" w:rsidRPr="0055056D">
        <w:rPr>
          <w:rFonts w:cs="Arial"/>
          <w:szCs w:val="16"/>
        </w:rPr>
        <w:t>Hungary – Opinion on the Amendments to the Act on Equal Treatment and Promotion of Equal Opportunities and to the Act on the Commissioner for Fundamental Rights as adopted by the Hungarian Parliament in December 2020</w:t>
      </w:r>
      <w:r w:rsidRPr="00C44189">
        <w:rPr>
          <w:rFonts w:cs="Arial"/>
          <w:szCs w:val="16"/>
        </w:rPr>
        <w:t>, Adopted by the Venice Commission at its 128th Plenary Session (Venice and online, 15-16 October 2021)</w:t>
      </w:r>
      <w:r w:rsidR="00D475BF" w:rsidRPr="00C44189">
        <w:rPr>
          <w:rFonts w:cs="Arial"/>
          <w:szCs w:val="16"/>
        </w:rPr>
        <w:t xml:space="preserve">, available at </w:t>
      </w:r>
      <w:proofErr w:type="gramStart"/>
      <w:r w:rsidR="00D475BF" w:rsidRPr="00C44189">
        <w:rPr>
          <w:rFonts w:cs="Arial"/>
          <w:szCs w:val="16"/>
        </w:rPr>
        <w:t>https://www.venice.coe.int/webforms/documents/default.aspx?pdffile=CDL-AD(2021)034-e</w:t>
      </w:r>
      <w:proofErr w:type="gramEnd"/>
    </w:p>
  </w:footnote>
  <w:footnote w:id="65">
    <w:p w14:paraId="1EB53339" w14:textId="1C915617" w:rsidR="0085513A" w:rsidRPr="00C44189" w:rsidRDefault="0085513A"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Ibid, p. 8, citing Global Alliance of National Human Rights Institutions (GANHRI) (2019), </w:t>
      </w:r>
      <w:r w:rsidR="00D475BF" w:rsidRPr="0055056D">
        <w:rPr>
          <w:rFonts w:cs="Arial"/>
          <w:szCs w:val="16"/>
        </w:rPr>
        <w:t>Report and Recommendations of the Session of the Sub-Committee on Accreditation (SCA)</w:t>
      </w:r>
      <w:r w:rsidRPr="00C44189">
        <w:rPr>
          <w:rFonts w:cs="Arial"/>
          <w:szCs w:val="16"/>
        </w:rPr>
        <w:t>, 14–18 October 2019,</w:t>
      </w:r>
      <w:r w:rsidR="00102329" w:rsidRPr="00C44189">
        <w:rPr>
          <w:rFonts w:cs="Arial"/>
          <w:szCs w:val="16"/>
        </w:rPr>
        <w:t xml:space="preserve"> </w:t>
      </w:r>
      <w:r w:rsidRPr="00C44189">
        <w:rPr>
          <w:rFonts w:cs="Arial"/>
          <w:szCs w:val="16"/>
        </w:rPr>
        <w:t>p. 24- 26</w:t>
      </w:r>
      <w:r w:rsidR="00102329" w:rsidRPr="00C44189">
        <w:rPr>
          <w:rFonts w:cs="Arial"/>
          <w:szCs w:val="16"/>
        </w:rPr>
        <w:t>. available at https://ganhri.org/wp-content/uploads/2021/03/SCA-Report-October-2019-English.pdf</w:t>
      </w:r>
      <w:r w:rsidRPr="00C44189">
        <w:rPr>
          <w:rFonts w:cs="Arial"/>
          <w:szCs w:val="16"/>
        </w:rPr>
        <w:t>.</w:t>
      </w:r>
    </w:p>
  </w:footnote>
  <w:footnote w:id="66">
    <w:p w14:paraId="16354D41" w14:textId="0EA070CC" w:rsidR="00711C0D" w:rsidRPr="00C44189" w:rsidRDefault="00711C0D"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Global Alliance of National Human Rights Institutions (GANHRI) (2021), </w:t>
      </w:r>
      <w:r w:rsidR="00B96A34" w:rsidRPr="0055056D">
        <w:rPr>
          <w:rFonts w:cs="Arial"/>
          <w:szCs w:val="16"/>
        </w:rPr>
        <w:t>Report and Recommendations of the Virtual Session of the Sub-Committee on Accreditation (SCA), 14-21 June 2021</w:t>
      </w:r>
      <w:r w:rsidRPr="00C44189">
        <w:rPr>
          <w:rFonts w:cs="Arial"/>
          <w:szCs w:val="16"/>
        </w:rPr>
        <w:t>, pp.12-13</w:t>
      </w:r>
      <w:r w:rsidR="00B96A34" w:rsidRPr="00C44189">
        <w:rPr>
          <w:rFonts w:cs="Arial"/>
          <w:szCs w:val="16"/>
        </w:rPr>
        <w:t>, available athttps://ganhri.org/wp-content/uploads/2021/08/EN-SCA-Report-June-2021.pdf</w:t>
      </w:r>
      <w:r w:rsidRPr="00C44189">
        <w:rPr>
          <w:rFonts w:cs="Arial"/>
          <w:szCs w:val="16"/>
        </w:rPr>
        <w:t>.</w:t>
      </w:r>
    </w:p>
  </w:footnote>
  <w:footnote w:id="67">
    <w:p w14:paraId="3ABBAC91" w14:textId="3C13FDAE" w:rsidR="00A54FD3" w:rsidRPr="00C44189" w:rsidRDefault="00A54FD3"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Global Alliance on National Human Rights </w:t>
      </w:r>
      <w:r w:rsidR="000E506E" w:rsidRPr="00C44189">
        <w:rPr>
          <w:rFonts w:cs="Arial"/>
          <w:szCs w:val="16"/>
        </w:rPr>
        <w:t>Institutions</w:t>
      </w:r>
      <w:r w:rsidRPr="00C44189">
        <w:rPr>
          <w:rFonts w:cs="Arial"/>
          <w:szCs w:val="16"/>
        </w:rPr>
        <w:t xml:space="preserve"> (GANHRI) (2022), </w:t>
      </w:r>
      <w:r w:rsidR="00B96A34" w:rsidRPr="0055056D">
        <w:rPr>
          <w:rFonts w:cs="Arial"/>
          <w:szCs w:val="16"/>
        </w:rPr>
        <w:t>Report and Recommendations of the Virtual Session of the Sub-Committee on Accreditation (SCA) 14-25 March 2022</w:t>
      </w:r>
      <w:r w:rsidRPr="00C44189">
        <w:rPr>
          <w:rFonts w:cs="Arial"/>
          <w:szCs w:val="16"/>
        </w:rPr>
        <w:t>, p 44-45</w:t>
      </w:r>
      <w:r w:rsidR="00B96A34" w:rsidRPr="00C44189">
        <w:rPr>
          <w:rFonts w:cs="Arial"/>
          <w:szCs w:val="16"/>
        </w:rPr>
        <w:t xml:space="preserve">, available at </w:t>
      </w:r>
      <w:r w:rsidR="00A55980" w:rsidRPr="00C44189">
        <w:rPr>
          <w:rFonts w:cs="Arial"/>
          <w:szCs w:val="16"/>
        </w:rPr>
        <w:t>https://www.ohchr.org/sites/default/files/2022-04/SCA-Report-March-2022_E.pdf</w:t>
      </w:r>
      <w:r w:rsidRPr="00C44189">
        <w:rPr>
          <w:rFonts w:cs="Arial"/>
          <w:szCs w:val="16"/>
        </w:rPr>
        <w:t>.</w:t>
      </w:r>
    </w:p>
  </w:footnote>
  <w:footnote w:id="68">
    <w:p w14:paraId="1D4BC480" w14:textId="65F7BF32" w:rsidR="00C23D87" w:rsidRPr="00C44189" w:rsidRDefault="00C23D87"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OHCHR and GANHRI (2022), </w:t>
      </w:r>
      <w:r w:rsidR="00906765" w:rsidRPr="0055056D">
        <w:rPr>
          <w:rFonts w:cs="Arial"/>
          <w:szCs w:val="16"/>
        </w:rPr>
        <w:t>Chart of the status of national institutions, accredited by the Global Alliance of National Human Rights Institutions</w:t>
      </w:r>
      <w:r w:rsidRPr="00C44189">
        <w:rPr>
          <w:rFonts w:cs="Arial"/>
          <w:szCs w:val="16"/>
        </w:rPr>
        <w:t>, Accreditation status as of 27 April 2022</w:t>
      </w:r>
      <w:r w:rsidR="00906765" w:rsidRPr="00C44189">
        <w:rPr>
          <w:rFonts w:cs="Arial"/>
          <w:szCs w:val="16"/>
        </w:rPr>
        <w:t>, available at https://ganhri.org/wp-content/uploads/2022/04/StatusAccreditationChartNHRIs_27April2022.pdf</w:t>
      </w:r>
      <w:r w:rsidRPr="00C44189">
        <w:rPr>
          <w:rFonts w:cs="Arial"/>
          <w:szCs w:val="16"/>
        </w:rPr>
        <w:t xml:space="preserve">.  </w:t>
      </w:r>
    </w:p>
  </w:footnote>
  <w:footnote w:id="69">
    <w:p w14:paraId="0B4DDEA9" w14:textId="71420D6D" w:rsidR="00FD506F" w:rsidRPr="00C44189" w:rsidRDefault="00FD506F"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Hungarian Helsinki Committee (2021), </w:t>
      </w:r>
      <w:r w:rsidR="00906765" w:rsidRPr="0055056D">
        <w:rPr>
          <w:rFonts w:cs="Arial"/>
          <w:szCs w:val="16"/>
        </w:rPr>
        <w:t xml:space="preserve">Shadow report to the GANHRI Sub-Committee on Accreditation on the activities and independence of the Commissioner for Fundamental Rights of Hungary </w:t>
      </w:r>
      <w:proofErr w:type="gramStart"/>
      <w:r w:rsidR="00906765" w:rsidRPr="0055056D">
        <w:rPr>
          <w:rFonts w:cs="Arial"/>
          <w:szCs w:val="16"/>
        </w:rPr>
        <w:t>in light of</w:t>
      </w:r>
      <w:proofErr w:type="gramEnd"/>
      <w:r w:rsidR="00906765" w:rsidRPr="0055056D">
        <w:rPr>
          <w:rFonts w:cs="Arial"/>
          <w:szCs w:val="16"/>
        </w:rPr>
        <w:t xml:space="preserve"> the requirements set for national human rights institutions</w:t>
      </w:r>
      <w:r w:rsidRPr="00C44189">
        <w:rPr>
          <w:rFonts w:cs="Arial"/>
          <w:szCs w:val="16"/>
        </w:rPr>
        <w:t>, 18 February 2021</w:t>
      </w:r>
      <w:r w:rsidR="00906765" w:rsidRPr="00C44189">
        <w:rPr>
          <w:rFonts w:cs="Arial"/>
          <w:szCs w:val="16"/>
        </w:rPr>
        <w:t>, available at https://helsinki.hu/wp-content/uploads/Assessment_NHRI_Hungary_18022021_HHC.pdf</w:t>
      </w:r>
      <w:r w:rsidR="00F822B4" w:rsidRPr="00C44189">
        <w:rPr>
          <w:rFonts w:cs="Arial"/>
          <w:szCs w:val="16"/>
        </w:rPr>
        <w:t>.</w:t>
      </w:r>
    </w:p>
  </w:footnote>
  <w:footnote w:id="70">
    <w:p w14:paraId="4563BDCE" w14:textId="0E0A0403" w:rsidR="00FD506F" w:rsidRPr="00C44189" w:rsidRDefault="00FD506F"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7B27D8" w:rsidRPr="00C44189">
        <w:rPr>
          <w:rFonts w:cs="Arial"/>
          <w:b/>
          <w:bCs/>
          <w:szCs w:val="16"/>
        </w:rPr>
        <w:t>[emphasis added]</w:t>
      </w:r>
      <w:r w:rsidR="00F21EA4" w:rsidRPr="00C44189">
        <w:rPr>
          <w:rFonts w:cs="Arial"/>
          <w:b/>
          <w:bCs/>
          <w:szCs w:val="16"/>
        </w:rPr>
        <w:t xml:space="preserve"> </w:t>
      </w:r>
      <w:r w:rsidRPr="00C44189">
        <w:rPr>
          <w:rFonts w:cs="Arial"/>
          <w:szCs w:val="16"/>
        </w:rPr>
        <w:t xml:space="preserve">Hungarian Helsinki Committee (2021), </w:t>
      </w:r>
      <w:r w:rsidR="00841C89" w:rsidRPr="0055056D">
        <w:rPr>
          <w:rFonts w:cs="Arial"/>
          <w:szCs w:val="16"/>
        </w:rPr>
        <w:t>Peers from other countries recommend that the Ombudsperson is downgraded as a national human rights institution</w:t>
      </w:r>
      <w:r w:rsidRPr="00C44189">
        <w:rPr>
          <w:rFonts w:cs="Arial"/>
          <w:szCs w:val="16"/>
        </w:rPr>
        <w:t>, 4 August 2021</w:t>
      </w:r>
      <w:r w:rsidR="00841C89" w:rsidRPr="00C44189">
        <w:rPr>
          <w:rFonts w:cs="Arial"/>
          <w:szCs w:val="16"/>
        </w:rPr>
        <w:t>, available at https://helsinki.hu/en/peers-from-other-countries-recommend-that-the-ombudsperson-is-downgraded-as-a-national-human-rights-institution/</w:t>
      </w:r>
      <w:r w:rsidRPr="00C44189">
        <w:rPr>
          <w:rFonts w:cs="Arial"/>
          <w:szCs w:val="16"/>
        </w:rPr>
        <w:t>.</w:t>
      </w:r>
    </w:p>
  </w:footnote>
  <w:footnote w:id="71">
    <w:p w14:paraId="1E755B75" w14:textId="3148B2D8" w:rsidR="00FD506F" w:rsidRPr="00C44189" w:rsidRDefault="00FD506F"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Hungarian Helsinki Committee (2021), </w:t>
      </w:r>
      <w:r w:rsidR="00BB033F" w:rsidRPr="0055056D">
        <w:rPr>
          <w:rFonts w:cs="Arial"/>
          <w:szCs w:val="16"/>
        </w:rPr>
        <w:t xml:space="preserve">Shadow report to the GANHRI Sub-Committee on Accreditation on the activities and independence of the Commissioner for Fundamental Rights of Hungary </w:t>
      </w:r>
      <w:proofErr w:type="gramStart"/>
      <w:r w:rsidR="00BB033F" w:rsidRPr="0055056D">
        <w:rPr>
          <w:rFonts w:cs="Arial"/>
          <w:szCs w:val="16"/>
        </w:rPr>
        <w:t>in light of</w:t>
      </w:r>
      <w:proofErr w:type="gramEnd"/>
      <w:r w:rsidR="00BB033F" w:rsidRPr="0055056D">
        <w:rPr>
          <w:rFonts w:cs="Arial"/>
          <w:szCs w:val="16"/>
        </w:rPr>
        <w:t xml:space="preserve"> the requirements set for national human rights institutions</w:t>
      </w:r>
      <w:r w:rsidRPr="00C44189">
        <w:rPr>
          <w:rFonts w:cs="Arial"/>
          <w:szCs w:val="16"/>
        </w:rPr>
        <w:t>, 18 February 2021, p.4.</w:t>
      </w:r>
    </w:p>
  </w:footnote>
  <w:footnote w:id="72">
    <w:p w14:paraId="17426642" w14:textId="77777777" w:rsidR="00FD506F" w:rsidRPr="00C44189" w:rsidRDefault="00FD506F"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Ibid, p.5.</w:t>
      </w:r>
    </w:p>
  </w:footnote>
  <w:footnote w:id="73">
    <w:p w14:paraId="10548EA1" w14:textId="4D01D472" w:rsidR="0084075F" w:rsidRPr="00C44189" w:rsidRDefault="0084075F"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proofErr w:type="spellStart"/>
      <w:r w:rsidRPr="00C44189">
        <w:rPr>
          <w:rFonts w:cs="Arial"/>
          <w:szCs w:val="16"/>
        </w:rPr>
        <w:t>András</w:t>
      </w:r>
      <w:proofErr w:type="spellEnd"/>
      <w:r w:rsidRPr="00C44189">
        <w:rPr>
          <w:rFonts w:cs="Arial"/>
          <w:szCs w:val="16"/>
        </w:rPr>
        <w:t xml:space="preserve"> </w:t>
      </w:r>
      <w:proofErr w:type="spellStart"/>
      <w:r w:rsidRPr="00C44189">
        <w:rPr>
          <w:rFonts w:cs="Arial"/>
          <w:szCs w:val="16"/>
        </w:rPr>
        <w:t>Kádár</w:t>
      </w:r>
      <w:proofErr w:type="spellEnd"/>
      <w:r w:rsidRPr="00C44189">
        <w:rPr>
          <w:rFonts w:cs="Arial"/>
          <w:szCs w:val="16"/>
        </w:rPr>
        <w:t xml:space="preserve"> (2022), </w:t>
      </w:r>
      <w:r w:rsidR="00BB033F" w:rsidRPr="0055056D">
        <w:rPr>
          <w:rFonts w:cs="Arial"/>
          <w:szCs w:val="16"/>
        </w:rPr>
        <w:t>Hungary’s Ombudsman is downgraded by the Global Alliance of National Human Rights Institutions to B status due to lack of functional independence</w:t>
      </w:r>
      <w:r w:rsidRPr="00C44189">
        <w:rPr>
          <w:rFonts w:cs="Arial"/>
          <w:szCs w:val="16"/>
        </w:rPr>
        <w:t>, European Network of Legal Experts in Gender Equality and Non-discrimination, 2 August 2022</w:t>
      </w:r>
      <w:r w:rsidR="00BB033F" w:rsidRPr="00C44189">
        <w:rPr>
          <w:rFonts w:cs="Arial"/>
          <w:szCs w:val="16"/>
        </w:rPr>
        <w:t xml:space="preserve">, available at https://www.equalitylaw.eu/downloads/5673-hungary-hungary-s-ombudsman-is-downgraded-by-the-global-alliance-of-national-human-rights-institutions-to-b-status-due-to-lack-of-functional-independence-101-kb </w:t>
      </w:r>
      <w:r w:rsidRPr="00C44189">
        <w:rPr>
          <w:rFonts w:cs="Arial"/>
          <w:szCs w:val="16"/>
        </w:rPr>
        <w:t>.</w:t>
      </w:r>
    </w:p>
  </w:footnote>
  <w:footnote w:id="74">
    <w:p w14:paraId="73F61A9E" w14:textId="501036EE" w:rsidR="00833541" w:rsidRPr="00C44189" w:rsidRDefault="0083354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BA7EA4" w:rsidRPr="00C44189">
        <w:rPr>
          <w:rFonts w:cs="Arial"/>
          <w:szCs w:val="16"/>
        </w:rPr>
        <w:t xml:space="preserve">Commission Staff Working Document, </w:t>
      </w:r>
      <w:hyperlink r:id="rId28" w:history="1">
        <w:r w:rsidR="00BA7EA4" w:rsidRPr="00C44189">
          <w:rPr>
            <w:rFonts w:cs="Arial"/>
            <w:szCs w:val="16"/>
          </w:rPr>
          <w:t>2021 Rule of Law Report, Country Chapter on the rule of law situation in Hungary</w:t>
        </w:r>
      </w:hyperlink>
      <w:r w:rsidRPr="00C44189">
        <w:rPr>
          <w:rFonts w:cs="Arial"/>
          <w:szCs w:val="16"/>
        </w:rPr>
        <w:t>.</w:t>
      </w:r>
    </w:p>
  </w:footnote>
  <w:footnote w:id="75">
    <w:p w14:paraId="22B9612B" w14:textId="5DB015A1" w:rsidR="00017734" w:rsidRPr="00C44189" w:rsidRDefault="00017734"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European Commission for Democracy through Law (Venice Commission), </w:t>
      </w:r>
      <w:proofErr w:type="spellStart"/>
      <w:r w:rsidR="000B7192" w:rsidRPr="00C44189">
        <w:rPr>
          <w:rFonts w:cs="Arial"/>
          <w:szCs w:val="16"/>
        </w:rPr>
        <w:t>op.cit</w:t>
      </w:r>
      <w:proofErr w:type="spellEnd"/>
      <w:r w:rsidR="000B7192" w:rsidRPr="00C44189">
        <w:rPr>
          <w:rFonts w:cs="Arial"/>
          <w:szCs w:val="16"/>
        </w:rPr>
        <w:t>.</w:t>
      </w:r>
      <w:r w:rsidR="008946B7" w:rsidRPr="00C44189">
        <w:rPr>
          <w:rFonts w:cs="Arial"/>
          <w:szCs w:val="16"/>
        </w:rPr>
        <w:t>,</w:t>
      </w:r>
      <w:r w:rsidRPr="00C44189">
        <w:rPr>
          <w:rFonts w:cs="Arial"/>
          <w:szCs w:val="16"/>
        </w:rPr>
        <w:t xml:space="preserve"> </w:t>
      </w:r>
      <w:r w:rsidR="002B332D" w:rsidRPr="00C44189">
        <w:rPr>
          <w:rFonts w:cs="Arial"/>
          <w:szCs w:val="16"/>
        </w:rPr>
        <w:t>p.10</w:t>
      </w:r>
      <w:r w:rsidRPr="00C44189">
        <w:rPr>
          <w:rFonts w:cs="Arial"/>
          <w:szCs w:val="16"/>
        </w:rPr>
        <w:t xml:space="preserve">. </w:t>
      </w:r>
    </w:p>
  </w:footnote>
  <w:footnote w:id="76">
    <w:p w14:paraId="45B3E70C" w14:textId="1681AF83" w:rsidR="00A04DB8" w:rsidRPr="00C44189" w:rsidRDefault="00A04DB8"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604B94" w:rsidRPr="00C44189">
        <w:rPr>
          <w:rFonts w:cs="Arial"/>
          <w:szCs w:val="16"/>
        </w:rPr>
        <w:t xml:space="preserve">Contributions of Hungarian CSOs to the European Commission’s Rule of Law Report, January 2023, </w:t>
      </w:r>
      <w:r w:rsidR="00552A83" w:rsidRPr="00C44189">
        <w:rPr>
          <w:rFonts w:cs="Arial"/>
          <w:szCs w:val="16"/>
        </w:rPr>
        <w:t xml:space="preserve">p.62, </w:t>
      </w:r>
      <w:r w:rsidR="00604B94" w:rsidRPr="00C44189">
        <w:rPr>
          <w:rFonts w:cs="Arial"/>
          <w:szCs w:val="16"/>
        </w:rPr>
        <w:t>available at: https://helsinki.hu/en/wp-content/uploads/sites/2/2023/01/HUN_CSO_contribution_EC_RoL_Report_2023.pdf</w:t>
      </w:r>
      <w:r w:rsidR="00B14548" w:rsidRPr="00C44189">
        <w:rPr>
          <w:rFonts w:cs="Arial"/>
          <w:szCs w:val="16"/>
        </w:rPr>
        <w:t>.</w:t>
      </w:r>
    </w:p>
  </w:footnote>
  <w:footnote w:id="77">
    <w:p w14:paraId="1ED07099" w14:textId="0836F94E" w:rsidR="002B524D" w:rsidRPr="00C44189" w:rsidRDefault="002B524D" w:rsidP="00AA1605">
      <w:pPr>
        <w:pStyle w:val="Testonotaapidipagina"/>
        <w:jc w:val="both"/>
        <w:rPr>
          <w:rFonts w:cs="Arial"/>
          <w:szCs w:val="16"/>
          <w:lang w:val="en-US"/>
        </w:rPr>
      </w:pPr>
      <w:r w:rsidRPr="00C44189">
        <w:rPr>
          <w:rStyle w:val="Rimandonotaapidipagina"/>
          <w:rFonts w:ascii="Arial" w:eastAsiaTheme="minorEastAsia" w:hAnsi="Arial" w:cs="Arial"/>
          <w:szCs w:val="16"/>
        </w:rPr>
        <w:footnoteRef/>
      </w:r>
      <w:r w:rsidRPr="00C44189">
        <w:rPr>
          <w:rFonts w:cs="Arial"/>
          <w:szCs w:val="16"/>
        </w:rPr>
        <w:t xml:space="preserve"> </w:t>
      </w:r>
      <w:proofErr w:type="spellStart"/>
      <w:r w:rsidRPr="00C44189">
        <w:rPr>
          <w:rFonts w:cs="Arial"/>
          <w:szCs w:val="16"/>
          <w:lang w:val="en-US"/>
        </w:rPr>
        <w:t>Romaversitas</w:t>
      </w:r>
      <w:proofErr w:type="spellEnd"/>
      <w:r w:rsidRPr="00C44189">
        <w:rPr>
          <w:rFonts w:cs="Arial"/>
          <w:szCs w:val="16"/>
          <w:lang w:val="en-US"/>
        </w:rPr>
        <w:t xml:space="preserve"> (2022), </w:t>
      </w:r>
      <w:r w:rsidR="00952A9F" w:rsidRPr="0055056D">
        <w:rPr>
          <w:rFonts w:cs="Arial"/>
          <w:szCs w:val="16"/>
        </w:rPr>
        <w:t>The Situation of Transcarpathian Romania Families Fleeing from Ukraine to Hungary</w:t>
      </w:r>
      <w:r w:rsidRPr="00C44189">
        <w:rPr>
          <w:rFonts w:cs="Arial"/>
          <w:szCs w:val="16"/>
          <w:lang w:val="en-US"/>
        </w:rPr>
        <w:t>, p 7</w:t>
      </w:r>
      <w:r w:rsidR="00952A9F" w:rsidRPr="00C44189">
        <w:rPr>
          <w:rFonts w:cs="Arial"/>
          <w:szCs w:val="16"/>
          <w:lang w:val="en-US"/>
        </w:rPr>
        <w:t>, available at https://romaversitas.hu/wp-content/uploads/2022/12/Transcarpathian_romani_families_EN_spread.pdf</w:t>
      </w:r>
      <w:r w:rsidRPr="00C44189">
        <w:rPr>
          <w:rFonts w:cs="Arial"/>
          <w:szCs w:val="16"/>
          <w:lang w:val="en-US"/>
        </w:rPr>
        <w:t>.</w:t>
      </w:r>
    </w:p>
  </w:footnote>
  <w:footnote w:id="78">
    <w:p w14:paraId="6C2EF86B" w14:textId="6C2911E3" w:rsidR="002E6108" w:rsidRPr="00C44189" w:rsidRDefault="002E6108"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0F1176" w:rsidRPr="00C44189">
        <w:rPr>
          <w:rFonts w:cs="Arial"/>
          <w:szCs w:val="16"/>
        </w:rPr>
        <w:t>According to the search engine of the Constitutional Court.</w:t>
      </w:r>
    </w:p>
  </w:footnote>
  <w:footnote w:id="79">
    <w:p w14:paraId="0F7E701A" w14:textId="4006C81A" w:rsidR="00380C0E" w:rsidRPr="00C44189" w:rsidRDefault="00380C0E"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912960" w:rsidRPr="00C44189">
        <w:rPr>
          <w:rFonts w:cs="Arial"/>
          <w:szCs w:val="16"/>
        </w:rPr>
        <w:t xml:space="preserve">Amnesty International Hungary, Eötvös </w:t>
      </w:r>
      <w:proofErr w:type="spellStart"/>
      <w:r w:rsidR="00912960" w:rsidRPr="00C44189">
        <w:rPr>
          <w:rFonts w:cs="Arial"/>
          <w:szCs w:val="16"/>
        </w:rPr>
        <w:t>Károly</w:t>
      </w:r>
      <w:proofErr w:type="spellEnd"/>
      <w:r w:rsidR="00912960" w:rsidRPr="00C44189">
        <w:rPr>
          <w:rFonts w:cs="Arial"/>
          <w:szCs w:val="16"/>
        </w:rPr>
        <w:t xml:space="preserve"> Institute, Hungarian Civil Liberties Union, K-Monitor, </w:t>
      </w:r>
      <w:proofErr w:type="spellStart"/>
      <w:r w:rsidR="00912960" w:rsidRPr="00C44189">
        <w:rPr>
          <w:rFonts w:cs="Arial"/>
          <w:szCs w:val="16"/>
        </w:rPr>
        <w:t>Mérték</w:t>
      </w:r>
      <w:proofErr w:type="spellEnd"/>
      <w:r w:rsidR="00912960" w:rsidRPr="00C44189">
        <w:rPr>
          <w:rFonts w:cs="Arial"/>
          <w:szCs w:val="16"/>
        </w:rPr>
        <w:t xml:space="preserve"> Media Monitor, Political </w:t>
      </w:r>
      <w:proofErr w:type="gramStart"/>
      <w:r w:rsidR="00912960" w:rsidRPr="00C44189">
        <w:rPr>
          <w:rFonts w:cs="Arial"/>
          <w:szCs w:val="16"/>
        </w:rPr>
        <w:t>Capital</w:t>
      </w:r>
      <w:proofErr w:type="gramEnd"/>
      <w:r w:rsidR="00912960" w:rsidRPr="00C44189">
        <w:rPr>
          <w:rFonts w:cs="Arial"/>
          <w:szCs w:val="16"/>
        </w:rPr>
        <w:t xml:space="preserve"> and Transparency International Hungary (2021), </w:t>
      </w:r>
      <w:r w:rsidR="008A6670" w:rsidRPr="0055056D">
        <w:rPr>
          <w:rFonts w:cs="Arial"/>
          <w:szCs w:val="16"/>
        </w:rPr>
        <w:t>Contribution for the 2021 Rule of Law Report</w:t>
      </w:r>
      <w:r w:rsidR="008203BB" w:rsidRPr="00C44189">
        <w:rPr>
          <w:rFonts w:cs="Arial"/>
          <w:szCs w:val="16"/>
        </w:rPr>
        <w:t>, p. 52</w:t>
      </w:r>
      <w:r w:rsidR="008A6670" w:rsidRPr="00C44189">
        <w:rPr>
          <w:rFonts w:cs="Arial"/>
          <w:szCs w:val="16"/>
        </w:rPr>
        <w:t xml:space="preserve">, available at https://helsinki.hu/wp-content/uploads/2021/03/HUN_NGO_contribution_EC_RoL_Report_2021.pdf </w:t>
      </w:r>
      <w:r w:rsidR="00912960" w:rsidRPr="00C44189">
        <w:rPr>
          <w:rFonts w:cs="Arial"/>
          <w:szCs w:val="16"/>
        </w:rPr>
        <w:t>.</w:t>
      </w:r>
    </w:p>
  </w:footnote>
  <w:footnote w:id="80">
    <w:p w14:paraId="169E43AC" w14:textId="5F377213" w:rsidR="005C46F2" w:rsidRPr="00C44189" w:rsidRDefault="005C46F2"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00686141" w:rsidRPr="00C44189">
        <w:rPr>
          <w:rFonts w:cs="Arial"/>
          <w:szCs w:val="16"/>
          <w:lang w:val="en-US"/>
        </w:rPr>
        <w:t xml:space="preserve">Article 38 of </w:t>
      </w:r>
      <w:r w:rsidR="008A6670" w:rsidRPr="0055056D">
        <w:rPr>
          <w:rFonts w:cs="Arial"/>
          <w:szCs w:val="16"/>
        </w:rPr>
        <w:t>Act CXII of 2011 on the right to informational self-determination and information freedom</w:t>
      </w:r>
      <w:r w:rsidRPr="00C44189">
        <w:rPr>
          <w:rFonts w:cs="Arial"/>
          <w:szCs w:val="16"/>
        </w:rPr>
        <w:t xml:space="preserve"> (</w:t>
      </w:r>
      <w:r w:rsidRPr="00C44189">
        <w:rPr>
          <w:rFonts w:cs="Arial"/>
          <w:i/>
          <w:iCs/>
          <w:szCs w:val="16"/>
        </w:rPr>
        <w:t xml:space="preserve">2011. </w:t>
      </w:r>
      <w:proofErr w:type="spellStart"/>
      <w:r w:rsidRPr="00C44189">
        <w:rPr>
          <w:rFonts w:cs="Arial"/>
          <w:i/>
          <w:iCs/>
          <w:szCs w:val="16"/>
        </w:rPr>
        <w:t>évi</w:t>
      </w:r>
      <w:proofErr w:type="spellEnd"/>
      <w:r w:rsidRPr="00C44189">
        <w:rPr>
          <w:rFonts w:cs="Arial"/>
          <w:i/>
          <w:iCs/>
          <w:szCs w:val="16"/>
        </w:rPr>
        <w:t xml:space="preserve"> CXII. </w:t>
      </w:r>
      <w:proofErr w:type="spellStart"/>
      <w:r w:rsidRPr="00C44189">
        <w:rPr>
          <w:rFonts w:cs="Arial"/>
          <w:i/>
          <w:iCs/>
          <w:szCs w:val="16"/>
        </w:rPr>
        <w:t>törvény</w:t>
      </w:r>
      <w:proofErr w:type="spellEnd"/>
      <w:r w:rsidRPr="00C44189">
        <w:rPr>
          <w:rFonts w:cs="Arial"/>
          <w:i/>
          <w:iCs/>
          <w:szCs w:val="16"/>
        </w:rPr>
        <w:t xml:space="preserve"> </w:t>
      </w:r>
      <w:proofErr w:type="spellStart"/>
      <w:r w:rsidRPr="00C44189">
        <w:rPr>
          <w:rFonts w:cs="Arial"/>
          <w:i/>
          <w:iCs/>
          <w:szCs w:val="16"/>
        </w:rPr>
        <w:t>az</w:t>
      </w:r>
      <w:proofErr w:type="spellEnd"/>
      <w:r w:rsidRPr="00C44189">
        <w:rPr>
          <w:rFonts w:cs="Arial"/>
          <w:i/>
          <w:iCs/>
          <w:szCs w:val="16"/>
        </w:rPr>
        <w:t xml:space="preserve"> </w:t>
      </w:r>
      <w:proofErr w:type="spellStart"/>
      <w:r w:rsidRPr="00C44189">
        <w:rPr>
          <w:rFonts w:cs="Arial"/>
          <w:i/>
          <w:iCs/>
          <w:szCs w:val="16"/>
        </w:rPr>
        <w:t>információs</w:t>
      </w:r>
      <w:proofErr w:type="spellEnd"/>
      <w:r w:rsidRPr="00C44189">
        <w:rPr>
          <w:rFonts w:cs="Arial"/>
          <w:i/>
          <w:iCs/>
          <w:szCs w:val="16"/>
        </w:rPr>
        <w:t xml:space="preserve"> </w:t>
      </w:r>
      <w:proofErr w:type="spellStart"/>
      <w:r w:rsidRPr="00C44189">
        <w:rPr>
          <w:rFonts w:cs="Arial"/>
          <w:i/>
          <w:iCs/>
          <w:szCs w:val="16"/>
        </w:rPr>
        <w:t>önrendelkezési</w:t>
      </w:r>
      <w:proofErr w:type="spellEnd"/>
      <w:r w:rsidRPr="00C44189">
        <w:rPr>
          <w:rFonts w:cs="Arial"/>
          <w:i/>
          <w:iCs/>
          <w:szCs w:val="16"/>
        </w:rPr>
        <w:t xml:space="preserve"> </w:t>
      </w:r>
      <w:proofErr w:type="spellStart"/>
      <w:r w:rsidRPr="00C44189">
        <w:rPr>
          <w:rFonts w:cs="Arial"/>
          <w:i/>
          <w:iCs/>
          <w:szCs w:val="16"/>
        </w:rPr>
        <w:t>jogról</w:t>
      </w:r>
      <w:proofErr w:type="spellEnd"/>
      <w:r w:rsidRPr="00C44189">
        <w:rPr>
          <w:rFonts w:cs="Arial"/>
          <w:i/>
          <w:iCs/>
          <w:szCs w:val="16"/>
        </w:rPr>
        <w:t xml:space="preserve"> </w:t>
      </w:r>
      <w:proofErr w:type="spellStart"/>
      <w:r w:rsidRPr="00C44189">
        <w:rPr>
          <w:rFonts w:cs="Arial"/>
          <w:i/>
          <w:iCs/>
          <w:szCs w:val="16"/>
        </w:rPr>
        <w:t>és</w:t>
      </w:r>
      <w:proofErr w:type="spellEnd"/>
      <w:r w:rsidRPr="00C44189">
        <w:rPr>
          <w:rFonts w:cs="Arial"/>
          <w:i/>
          <w:iCs/>
          <w:szCs w:val="16"/>
        </w:rPr>
        <w:t xml:space="preserve"> </w:t>
      </w:r>
      <w:proofErr w:type="spellStart"/>
      <w:r w:rsidRPr="00C44189">
        <w:rPr>
          <w:rFonts w:cs="Arial"/>
          <w:i/>
          <w:iCs/>
          <w:szCs w:val="16"/>
        </w:rPr>
        <w:t>az</w:t>
      </w:r>
      <w:proofErr w:type="spellEnd"/>
      <w:r w:rsidRPr="00C44189">
        <w:rPr>
          <w:rFonts w:cs="Arial"/>
          <w:i/>
          <w:iCs/>
          <w:szCs w:val="16"/>
        </w:rPr>
        <w:t xml:space="preserve"> </w:t>
      </w:r>
      <w:proofErr w:type="spellStart"/>
      <w:r w:rsidRPr="00C44189">
        <w:rPr>
          <w:rFonts w:cs="Arial"/>
          <w:i/>
          <w:iCs/>
          <w:szCs w:val="16"/>
        </w:rPr>
        <w:t>információszabadságról</w:t>
      </w:r>
      <w:proofErr w:type="spellEnd"/>
      <w:r w:rsidRPr="00C44189">
        <w:rPr>
          <w:rFonts w:cs="Arial"/>
          <w:szCs w:val="16"/>
        </w:rPr>
        <w:t>)</w:t>
      </w:r>
      <w:r w:rsidR="008A6670" w:rsidRPr="00C44189">
        <w:rPr>
          <w:rFonts w:cs="Arial"/>
          <w:szCs w:val="16"/>
        </w:rPr>
        <w:t>, available at https://njt.hu/jogszabaly/en/2011-112-00-0</w:t>
      </w:r>
      <w:r w:rsidRPr="00C44189">
        <w:rPr>
          <w:rFonts w:cs="Arial"/>
          <w:szCs w:val="16"/>
        </w:rPr>
        <w:t>.</w:t>
      </w:r>
      <w:r w:rsidR="00C32127" w:rsidRPr="00C44189">
        <w:rPr>
          <w:rFonts w:cs="Arial"/>
          <w:szCs w:val="16"/>
        </w:rPr>
        <w:t xml:space="preserve"> </w:t>
      </w:r>
      <w:r w:rsidR="00C32127" w:rsidRPr="00C44189">
        <w:rPr>
          <w:rFonts w:cs="Arial"/>
          <w:szCs w:val="16"/>
          <w:lang w:val="en-US"/>
        </w:rPr>
        <w:t>The president of the Authority is nominated by the Prime Minister and appointed by the President of the Republic, see Art. 40(1) of the same Act.</w:t>
      </w:r>
    </w:p>
  </w:footnote>
  <w:footnote w:id="81">
    <w:p w14:paraId="4FEEAAC3" w14:textId="16E30FF8" w:rsidR="00173F2A" w:rsidRPr="00C44189" w:rsidRDefault="00173F2A"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Court of Justice of the European Union, Case C</w:t>
      </w:r>
      <w:r w:rsidRPr="00C44189">
        <w:rPr>
          <w:rFonts w:cs="Arial"/>
          <w:szCs w:val="16"/>
        </w:rPr>
        <w:noBreakHyphen/>
        <w:t xml:space="preserve">288/12, </w:t>
      </w:r>
      <w:r w:rsidRPr="00C44189">
        <w:rPr>
          <w:rFonts w:cs="Arial"/>
          <w:i/>
          <w:iCs/>
          <w:szCs w:val="16"/>
        </w:rPr>
        <w:t>European Commission v Hungary</w:t>
      </w:r>
      <w:r w:rsidRPr="00C44189">
        <w:rPr>
          <w:rFonts w:cs="Arial"/>
          <w:szCs w:val="16"/>
        </w:rPr>
        <w:t xml:space="preserve">, </w:t>
      </w:r>
      <w:r w:rsidRPr="00C44189">
        <w:rPr>
          <w:rFonts w:cs="Arial"/>
          <w:color w:val="000000"/>
          <w:szCs w:val="16"/>
        </w:rPr>
        <w:t>8 April 2014</w:t>
      </w:r>
      <w:r w:rsidR="005F6ACD" w:rsidRPr="00C44189">
        <w:rPr>
          <w:rFonts w:cs="Arial"/>
          <w:color w:val="000000"/>
          <w:szCs w:val="16"/>
        </w:rPr>
        <w:t>.</w:t>
      </w:r>
    </w:p>
  </w:footnote>
  <w:footnote w:id="82">
    <w:p w14:paraId="672C4BA6" w14:textId="77777777" w:rsidR="00955D93" w:rsidRPr="00C44189" w:rsidRDefault="00955D93"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Art. 23 of Act CXI of 2011 on the Commissioner for Fundamental Rights is applicable to the NAIH following Art. 71(3) of Act CXII of 2011 on the right to informational self-determination and information freedom.</w:t>
      </w:r>
    </w:p>
  </w:footnote>
  <w:footnote w:id="83">
    <w:p w14:paraId="40C455D9" w14:textId="77777777" w:rsidR="00955D93" w:rsidRPr="00C44189" w:rsidRDefault="00955D93"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ECtHR, </w:t>
      </w:r>
      <w:bookmarkStart w:id="8" w:name="_Hlk118754424"/>
      <w:r w:rsidRPr="00C44189">
        <w:rPr>
          <w:lang w:val="en-IE"/>
        </w:rPr>
        <w:fldChar w:fldCharType="begin"/>
      </w:r>
      <w:r w:rsidRPr="00C44189">
        <w:rPr>
          <w:rFonts w:cs="Arial"/>
          <w:szCs w:val="16"/>
        </w:rPr>
        <w:instrText>HYPERLINK "https://hudoc.echr.coe.int/eng?i=001-219501"</w:instrText>
      </w:r>
      <w:r w:rsidRPr="00C44189">
        <w:rPr>
          <w:lang w:val="en-IE"/>
        </w:rPr>
      </w:r>
      <w:r w:rsidRPr="00C44189">
        <w:rPr>
          <w:lang w:val="en-IE"/>
        </w:rPr>
        <w:fldChar w:fldCharType="separate"/>
      </w:r>
      <w:proofErr w:type="spellStart"/>
      <w:r w:rsidRPr="00C44189">
        <w:rPr>
          <w:rStyle w:val="Collegamentoipertestuale"/>
          <w:rFonts w:cs="Arial"/>
          <w:i/>
          <w:iCs/>
          <w:szCs w:val="16"/>
        </w:rPr>
        <w:t>Hüttl</w:t>
      </w:r>
      <w:proofErr w:type="spellEnd"/>
      <w:r w:rsidRPr="00C44189">
        <w:rPr>
          <w:rStyle w:val="Collegamentoipertestuale"/>
          <w:rFonts w:cs="Arial"/>
          <w:i/>
          <w:iCs/>
          <w:szCs w:val="16"/>
        </w:rPr>
        <w:t xml:space="preserve"> v. Hungary</w:t>
      </w:r>
      <w:r w:rsidRPr="00C44189">
        <w:rPr>
          <w:rStyle w:val="Collegamentoipertestuale"/>
          <w:rFonts w:cs="Arial"/>
          <w:i/>
          <w:iCs/>
          <w:szCs w:val="16"/>
        </w:rPr>
        <w:fldChar w:fldCharType="end"/>
      </w:r>
      <w:bookmarkEnd w:id="8"/>
      <w:r w:rsidRPr="00C44189">
        <w:rPr>
          <w:rFonts w:cs="Arial"/>
          <w:i/>
          <w:iCs/>
          <w:szCs w:val="16"/>
        </w:rPr>
        <w:t>,</w:t>
      </w:r>
      <w:r w:rsidRPr="00C44189">
        <w:rPr>
          <w:rFonts w:cs="Arial"/>
          <w:szCs w:val="16"/>
        </w:rPr>
        <w:t xml:space="preserve"> No. 58032/16, 29 September 2022, paras. 16–18.</w:t>
      </w:r>
    </w:p>
  </w:footnote>
  <w:footnote w:id="84">
    <w:p w14:paraId="103BF45A" w14:textId="6D201A91" w:rsidR="00F41E71" w:rsidRPr="00C44189" w:rsidRDefault="00F41E7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Case No. NAIH-423-2/2022</w:t>
      </w:r>
      <w:r w:rsidR="00D03862" w:rsidRPr="00C44189">
        <w:rPr>
          <w:rFonts w:cs="Arial"/>
          <w:szCs w:val="16"/>
        </w:rPr>
        <w:t>.</w:t>
      </w:r>
    </w:p>
  </w:footnote>
  <w:footnote w:id="85">
    <w:p w14:paraId="356E0BD4" w14:textId="03A81A73" w:rsidR="00F84940" w:rsidRPr="00C44189" w:rsidRDefault="00F84940"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NAIH (2022), </w:t>
      </w:r>
      <w:r w:rsidR="00B2452C" w:rsidRPr="0055056D">
        <w:rPr>
          <w:rFonts w:cs="Arial"/>
          <w:szCs w:val="16"/>
        </w:rPr>
        <w:t xml:space="preserve">Findings of the investigation of the </w:t>
      </w:r>
      <w:proofErr w:type="spellStart"/>
      <w:r w:rsidR="00B2452C" w:rsidRPr="0055056D">
        <w:rPr>
          <w:rFonts w:cs="Arial"/>
          <w:szCs w:val="16"/>
        </w:rPr>
        <w:t>Nemzeti</w:t>
      </w:r>
      <w:proofErr w:type="spellEnd"/>
      <w:r w:rsidR="00B2452C" w:rsidRPr="0055056D">
        <w:rPr>
          <w:rFonts w:cs="Arial"/>
          <w:szCs w:val="16"/>
        </w:rPr>
        <w:t xml:space="preserve"> </w:t>
      </w:r>
      <w:proofErr w:type="spellStart"/>
      <w:r w:rsidR="00B2452C" w:rsidRPr="0055056D">
        <w:rPr>
          <w:rFonts w:cs="Arial"/>
          <w:szCs w:val="16"/>
        </w:rPr>
        <w:t>Adatvédelmi</w:t>
      </w:r>
      <w:proofErr w:type="spellEnd"/>
      <w:r w:rsidR="00B2452C" w:rsidRPr="0055056D">
        <w:rPr>
          <w:rFonts w:cs="Arial"/>
          <w:szCs w:val="16"/>
        </w:rPr>
        <w:t xml:space="preserve"> </w:t>
      </w:r>
      <w:proofErr w:type="spellStart"/>
      <w:r w:rsidR="00B2452C" w:rsidRPr="0055056D">
        <w:rPr>
          <w:rFonts w:cs="Arial"/>
          <w:szCs w:val="16"/>
        </w:rPr>
        <w:t>és</w:t>
      </w:r>
      <w:proofErr w:type="spellEnd"/>
      <w:r w:rsidR="00B2452C" w:rsidRPr="0055056D">
        <w:rPr>
          <w:rFonts w:cs="Arial"/>
          <w:szCs w:val="16"/>
        </w:rPr>
        <w:t xml:space="preserve"> </w:t>
      </w:r>
      <w:proofErr w:type="spellStart"/>
      <w:r w:rsidR="00B2452C" w:rsidRPr="0055056D">
        <w:rPr>
          <w:rFonts w:cs="Arial"/>
          <w:szCs w:val="16"/>
        </w:rPr>
        <w:t>Információszabadság</w:t>
      </w:r>
      <w:proofErr w:type="spellEnd"/>
      <w:r w:rsidR="00B2452C" w:rsidRPr="0055056D">
        <w:rPr>
          <w:rFonts w:cs="Arial"/>
          <w:szCs w:val="16"/>
        </w:rPr>
        <w:t xml:space="preserve"> </w:t>
      </w:r>
      <w:proofErr w:type="spellStart"/>
      <w:r w:rsidR="00B2452C" w:rsidRPr="0055056D">
        <w:rPr>
          <w:rFonts w:cs="Arial"/>
          <w:szCs w:val="16"/>
        </w:rPr>
        <w:t>Hatóság</w:t>
      </w:r>
      <w:proofErr w:type="spellEnd"/>
      <w:r w:rsidR="00B2452C" w:rsidRPr="0055056D">
        <w:rPr>
          <w:rFonts w:cs="Arial"/>
          <w:szCs w:val="16"/>
        </w:rPr>
        <w:t xml:space="preserve"> (Hungarian National Authority for Data Protection and Freedom of Information) launched ex officio concerning the application of the “Pegasus” spyware in Hungary</w:t>
      </w:r>
      <w:r w:rsidRPr="00C44189">
        <w:rPr>
          <w:rFonts w:cs="Arial"/>
          <w:szCs w:val="16"/>
        </w:rPr>
        <w:t>, 31 January 2022, p. 21</w:t>
      </w:r>
      <w:r w:rsidR="00B2452C" w:rsidRPr="00C44189">
        <w:rPr>
          <w:rFonts w:cs="Arial"/>
          <w:szCs w:val="16"/>
        </w:rPr>
        <w:t>, available at https://www.naih.hu/data-protection/data-protection-reports?download=492:findings-of-the-investigation-of-the-nemzeti-adatvedelmi-es-informacioszabadsag-hatosag-hungarian-national-authority-for-data-protection-and-freedom-of-information-launched-ex-officio-concerning-the-application-of-the-pegasus-spyware-in-hungary</w:t>
      </w:r>
      <w:r w:rsidRPr="00C44189">
        <w:rPr>
          <w:rFonts w:cs="Arial"/>
          <w:szCs w:val="16"/>
        </w:rPr>
        <w:t>.</w:t>
      </w:r>
    </w:p>
  </w:footnote>
  <w:footnote w:id="86">
    <w:p w14:paraId="6719D3B8" w14:textId="473A054D" w:rsidR="00F41E71" w:rsidRPr="00C44189" w:rsidRDefault="00F41E7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NAIH (2022), </w:t>
      </w:r>
      <w:proofErr w:type="spellStart"/>
      <w:r w:rsidR="0043172C" w:rsidRPr="00C44189">
        <w:rPr>
          <w:rFonts w:cs="Arial"/>
          <w:szCs w:val="16"/>
        </w:rPr>
        <w:t>op.cit</w:t>
      </w:r>
      <w:proofErr w:type="spellEnd"/>
      <w:r w:rsidR="0043172C" w:rsidRPr="00C44189">
        <w:rPr>
          <w:rFonts w:cs="Arial"/>
          <w:szCs w:val="16"/>
        </w:rPr>
        <w:t>.</w:t>
      </w:r>
      <w:r w:rsidRPr="00C44189">
        <w:rPr>
          <w:rFonts w:cs="Arial"/>
          <w:szCs w:val="16"/>
        </w:rPr>
        <w:t xml:space="preserve">, p. 49. </w:t>
      </w:r>
    </w:p>
  </w:footnote>
  <w:footnote w:id="87">
    <w:p w14:paraId="61D47278" w14:textId="77398EE0" w:rsidR="005A69C1" w:rsidRPr="00C44189" w:rsidRDefault="005A69C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6B1EED" w:rsidRPr="00C44189">
        <w:rPr>
          <w:rFonts w:cs="Arial"/>
          <w:szCs w:val="16"/>
        </w:rPr>
        <w:t xml:space="preserve">The Guardian, Hungarian journalists targeted with Pegasus spyware to sue state, </w:t>
      </w:r>
      <w:r w:rsidR="00AA394F" w:rsidRPr="00C44189">
        <w:rPr>
          <w:rFonts w:cs="Arial"/>
          <w:szCs w:val="16"/>
        </w:rPr>
        <w:t xml:space="preserve">28 January 2022, available at: </w:t>
      </w:r>
      <w:hyperlink r:id="rId29" w:history="1">
        <w:r w:rsidR="00AA394F" w:rsidRPr="00C44189">
          <w:rPr>
            <w:rStyle w:val="Collegamentoipertestuale"/>
            <w:rFonts w:cs="Arial"/>
            <w:szCs w:val="16"/>
          </w:rPr>
          <w:t>https://www.theguardian.com/world/2022/jan/28/hungarian-journalists-targeted-with-pegasus-spyware-to-sue-state</w:t>
        </w:r>
      </w:hyperlink>
      <w:r w:rsidR="00AA394F" w:rsidRPr="00C44189">
        <w:rPr>
          <w:rFonts w:cs="Arial"/>
          <w:szCs w:val="16"/>
        </w:rPr>
        <w:t xml:space="preserve"> </w:t>
      </w:r>
    </w:p>
  </w:footnote>
  <w:footnote w:id="88">
    <w:p w14:paraId="02B8705B" w14:textId="100CD4D3" w:rsidR="009C6787" w:rsidRPr="00C44189" w:rsidRDefault="009C6787"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D03862" w:rsidRPr="00C44189">
        <w:rPr>
          <w:rFonts w:cs="Arial"/>
          <w:szCs w:val="16"/>
        </w:rPr>
        <w:t xml:space="preserve">Commission Staff Working Document, </w:t>
      </w:r>
      <w:hyperlink r:id="rId30" w:history="1">
        <w:r w:rsidR="00D03862" w:rsidRPr="00C44189">
          <w:rPr>
            <w:rFonts w:cs="Arial"/>
            <w:szCs w:val="16"/>
          </w:rPr>
          <w:t>2022 Rule of Law Report, Country Chapter on the rule of law situation in Hungary</w:t>
        </w:r>
      </w:hyperlink>
      <w:r w:rsidR="00D95B5D" w:rsidRPr="00C44189">
        <w:rPr>
          <w:rFonts w:cs="Arial"/>
          <w:szCs w:val="16"/>
        </w:rPr>
        <w:t>, p.26.</w:t>
      </w:r>
    </w:p>
  </w:footnote>
  <w:footnote w:id="89">
    <w:p w14:paraId="4135A9C7" w14:textId="574D49B0" w:rsidR="00FE0A48" w:rsidRPr="00C44189" w:rsidRDefault="00FE0A48"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Article 16(1) of Act CLXI of 2011 on the organisation and administration of courts</w:t>
      </w:r>
      <w:r w:rsidR="00C614EB" w:rsidRPr="00C44189">
        <w:rPr>
          <w:rFonts w:cs="Arial"/>
          <w:szCs w:val="16"/>
        </w:rPr>
        <w:t xml:space="preserve"> (</w:t>
      </w:r>
      <w:r w:rsidR="0043172C" w:rsidRPr="0055056D">
        <w:rPr>
          <w:rFonts w:cs="Arial"/>
          <w:szCs w:val="16"/>
        </w:rPr>
        <w:t xml:space="preserve">2011. </w:t>
      </w:r>
      <w:proofErr w:type="spellStart"/>
      <w:r w:rsidR="0043172C" w:rsidRPr="0055056D">
        <w:rPr>
          <w:rFonts w:cs="Arial"/>
          <w:szCs w:val="16"/>
        </w:rPr>
        <w:t>évi</w:t>
      </w:r>
      <w:proofErr w:type="spellEnd"/>
      <w:r w:rsidR="0043172C" w:rsidRPr="0055056D">
        <w:rPr>
          <w:rFonts w:cs="Arial"/>
          <w:szCs w:val="16"/>
        </w:rPr>
        <w:t xml:space="preserve"> CLXI. </w:t>
      </w:r>
      <w:proofErr w:type="spellStart"/>
      <w:r w:rsidR="0043172C" w:rsidRPr="0055056D">
        <w:rPr>
          <w:rFonts w:cs="Arial"/>
          <w:szCs w:val="16"/>
        </w:rPr>
        <w:t>Törvény</w:t>
      </w:r>
      <w:proofErr w:type="spellEnd"/>
      <w:r w:rsidR="0043172C" w:rsidRPr="0055056D">
        <w:rPr>
          <w:rFonts w:cs="Arial"/>
          <w:szCs w:val="16"/>
        </w:rPr>
        <w:t xml:space="preserve"> a </w:t>
      </w:r>
      <w:proofErr w:type="spellStart"/>
      <w:r w:rsidR="0043172C" w:rsidRPr="0055056D">
        <w:rPr>
          <w:rFonts w:cs="Arial"/>
          <w:szCs w:val="16"/>
        </w:rPr>
        <w:t>bíróságok</w:t>
      </w:r>
      <w:proofErr w:type="spellEnd"/>
      <w:r w:rsidR="0043172C" w:rsidRPr="0055056D">
        <w:rPr>
          <w:rFonts w:cs="Arial"/>
          <w:szCs w:val="16"/>
        </w:rPr>
        <w:t xml:space="preserve"> </w:t>
      </w:r>
      <w:proofErr w:type="spellStart"/>
      <w:r w:rsidR="0043172C" w:rsidRPr="0055056D">
        <w:rPr>
          <w:rFonts w:cs="Arial"/>
          <w:szCs w:val="16"/>
        </w:rPr>
        <w:t>szervezetéről</w:t>
      </w:r>
      <w:proofErr w:type="spellEnd"/>
      <w:r w:rsidR="0043172C" w:rsidRPr="0055056D">
        <w:rPr>
          <w:rFonts w:cs="Arial"/>
          <w:szCs w:val="16"/>
        </w:rPr>
        <w:t xml:space="preserve"> </w:t>
      </w:r>
      <w:proofErr w:type="spellStart"/>
      <w:r w:rsidR="0043172C" w:rsidRPr="0055056D">
        <w:rPr>
          <w:rFonts w:cs="Arial"/>
          <w:szCs w:val="16"/>
        </w:rPr>
        <w:t>és</w:t>
      </w:r>
      <w:proofErr w:type="spellEnd"/>
      <w:r w:rsidR="0043172C" w:rsidRPr="0055056D">
        <w:rPr>
          <w:rFonts w:cs="Arial"/>
          <w:szCs w:val="16"/>
        </w:rPr>
        <w:t xml:space="preserve"> </w:t>
      </w:r>
      <w:proofErr w:type="spellStart"/>
      <w:r w:rsidR="0043172C" w:rsidRPr="0055056D">
        <w:rPr>
          <w:rFonts w:cs="Arial"/>
          <w:szCs w:val="16"/>
        </w:rPr>
        <w:t>igazgatásáról</w:t>
      </w:r>
      <w:proofErr w:type="spellEnd"/>
      <w:r w:rsidR="00C614EB" w:rsidRPr="00C44189">
        <w:rPr>
          <w:rFonts w:cs="Arial"/>
          <w:szCs w:val="16"/>
        </w:rPr>
        <w:t>)</w:t>
      </w:r>
      <w:r w:rsidR="0043172C" w:rsidRPr="00C44189">
        <w:rPr>
          <w:rFonts w:cs="Arial"/>
          <w:szCs w:val="16"/>
        </w:rPr>
        <w:t>, available at https://njt.hu/jogszabaly/2011-161-00-00</w:t>
      </w:r>
      <w:r w:rsidR="00C614EB" w:rsidRPr="00C44189">
        <w:rPr>
          <w:rFonts w:cs="Arial"/>
          <w:szCs w:val="16"/>
        </w:rPr>
        <w:t>.</w:t>
      </w:r>
    </w:p>
  </w:footnote>
  <w:footnote w:id="90">
    <w:p w14:paraId="4C249D56" w14:textId="4B10D721" w:rsidR="001016E3" w:rsidRPr="00C44189" w:rsidRDefault="001016E3"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Act CLXI of 2011 on the organisation and administration of courts (</w:t>
      </w:r>
      <w:r w:rsidR="006F43D7" w:rsidRPr="0055056D">
        <w:rPr>
          <w:rFonts w:cs="Arial"/>
          <w:szCs w:val="16"/>
        </w:rPr>
        <w:t xml:space="preserve">2011. </w:t>
      </w:r>
      <w:proofErr w:type="spellStart"/>
      <w:r w:rsidR="006F43D7" w:rsidRPr="0055056D">
        <w:rPr>
          <w:rFonts w:cs="Arial"/>
          <w:szCs w:val="16"/>
        </w:rPr>
        <w:t>évi</w:t>
      </w:r>
      <w:proofErr w:type="spellEnd"/>
      <w:r w:rsidR="006F43D7" w:rsidRPr="0055056D">
        <w:rPr>
          <w:rFonts w:cs="Arial"/>
          <w:szCs w:val="16"/>
        </w:rPr>
        <w:t xml:space="preserve"> CLXI. </w:t>
      </w:r>
      <w:proofErr w:type="spellStart"/>
      <w:r w:rsidR="006F43D7" w:rsidRPr="0055056D">
        <w:rPr>
          <w:rFonts w:cs="Arial"/>
          <w:szCs w:val="16"/>
        </w:rPr>
        <w:t>Törvény</w:t>
      </w:r>
      <w:proofErr w:type="spellEnd"/>
      <w:r w:rsidR="006F43D7" w:rsidRPr="0055056D">
        <w:rPr>
          <w:rFonts w:cs="Arial"/>
          <w:szCs w:val="16"/>
        </w:rPr>
        <w:t xml:space="preserve"> a </w:t>
      </w:r>
      <w:proofErr w:type="spellStart"/>
      <w:r w:rsidR="006F43D7" w:rsidRPr="0055056D">
        <w:rPr>
          <w:rFonts w:cs="Arial"/>
          <w:szCs w:val="16"/>
        </w:rPr>
        <w:t>bíróságok</w:t>
      </w:r>
      <w:proofErr w:type="spellEnd"/>
      <w:r w:rsidR="006F43D7" w:rsidRPr="0055056D">
        <w:rPr>
          <w:rFonts w:cs="Arial"/>
          <w:szCs w:val="16"/>
        </w:rPr>
        <w:t xml:space="preserve"> </w:t>
      </w:r>
      <w:proofErr w:type="spellStart"/>
      <w:r w:rsidR="006F43D7" w:rsidRPr="0055056D">
        <w:rPr>
          <w:rFonts w:cs="Arial"/>
          <w:szCs w:val="16"/>
        </w:rPr>
        <w:t>szervezetéről</w:t>
      </w:r>
      <w:proofErr w:type="spellEnd"/>
      <w:r w:rsidR="006F43D7" w:rsidRPr="0055056D">
        <w:rPr>
          <w:rFonts w:cs="Arial"/>
          <w:szCs w:val="16"/>
        </w:rPr>
        <w:t xml:space="preserve"> </w:t>
      </w:r>
      <w:proofErr w:type="spellStart"/>
      <w:r w:rsidR="006F43D7" w:rsidRPr="0055056D">
        <w:rPr>
          <w:rFonts w:cs="Arial"/>
          <w:szCs w:val="16"/>
        </w:rPr>
        <w:t>és</w:t>
      </w:r>
      <w:proofErr w:type="spellEnd"/>
      <w:r w:rsidR="006F43D7" w:rsidRPr="0055056D">
        <w:rPr>
          <w:rFonts w:cs="Arial"/>
          <w:szCs w:val="16"/>
        </w:rPr>
        <w:t xml:space="preserve"> </w:t>
      </w:r>
      <w:proofErr w:type="spellStart"/>
      <w:r w:rsidR="006F43D7" w:rsidRPr="0055056D">
        <w:rPr>
          <w:rFonts w:cs="Arial"/>
          <w:szCs w:val="16"/>
        </w:rPr>
        <w:t>igazgatásáról</w:t>
      </w:r>
      <w:proofErr w:type="spellEnd"/>
      <w:r w:rsidRPr="00C44189">
        <w:rPr>
          <w:rFonts w:cs="Arial"/>
          <w:szCs w:val="16"/>
        </w:rPr>
        <w:t>)</w:t>
      </w:r>
      <w:r w:rsidR="006F43D7" w:rsidRPr="00C44189">
        <w:rPr>
          <w:rFonts w:cs="Arial"/>
          <w:szCs w:val="16"/>
        </w:rPr>
        <w:t xml:space="preserve">, available at </w:t>
      </w:r>
      <w:hyperlink r:id="rId31" w:history="1">
        <w:r w:rsidR="006F43D7" w:rsidRPr="00C44189">
          <w:rPr>
            <w:rStyle w:val="Collegamentoipertestuale"/>
            <w:rFonts w:cs="Arial"/>
            <w:szCs w:val="16"/>
          </w:rPr>
          <w:t>https://njt.hu/jogszabaly/2011-161-00-00</w:t>
        </w:r>
      </w:hyperlink>
      <w:r w:rsidRPr="00C44189">
        <w:rPr>
          <w:rFonts w:cs="Arial"/>
          <w:szCs w:val="16"/>
        </w:rPr>
        <w:t>.</w:t>
      </w:r>
    </w:p>
  </w:footnote>
  <w:footnote w:id="91">
    <w:p w14:paraId="29942A22" w14:textId="77777777" w:rsidR="00B13560" w:rsidRPr="00C44189" w:rsidRDefault="00B13560"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Act CLXI of 2011 on the organisation and administration of courts; Joint contribution from Amnesty International Hungary and eight other CSOs for the 2023 Rule of Law Report, p. 21-22.</w:t>
      </w:r>
    </w:p>
  </w:footnote>
  <w:footnote w:id="92">
    <w:p w14:paraId="74680103" w14:textId="530B463B" w:rsidR="004B1406" w:rsidRPr="00C44189" w:rsidRDefault="004B1406"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Article </w:t>
      </w:r>
      <w:r w:rsidR="00612487" w:rsidRPr="00C44189">
        <w:rPr>
          <w:rFonts w:cs="Arial"/>
          <w:szCs w:val="16"/>
        </w:rPr>
        <w:t>25(5) of the Fundamental Law.</w:t>
      </w:r>
    </w:p>
  </w:footnote>
  <w:footnote w:id="93">
    <w:p w14:paraId="60D4CD42" w14:textId="5BB0B096" w:rsidR="00EE5F45" w:rsidRPr="00C44189" w:rsidRDefault="00EE5F45"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6F43D7" w:rsidRPr="00C44189">
        <w:rPr>
          <w:rFonts w:cs="Arial"/>
          <w:szCs w:val="16"/>
        </w:rPr>
        <w:t xml:space="preserve">See webpage of the </w:t>
      </w:r>
      <w:r w:rsidRPr="00C44189">
        <w:rPr>
          <w:rFonts w:cs="Arial"/>
          <w:szCs w:val="16"/>
        </w:rPr>
        <w:t>National Judicial Council</w:t>
      </w:r>
      <w:r w:rsidR="006F43D7" w:rsidRPr="00C44189">
        <w:rPr>
          <w:rFonts w:cs="Arial"/>
          <w:szCs w:val="16"/>
        </w:rPr>
        <w:t xml:space="preserve"> at https://orszagosbiroitanacs.hu/bemutatkozas/</w:t>
      </w:r>
      <w:hyperlink r:id="rId32" w:history="1"/>
      <w:r w:rsidR="00BF6F80" w:rsidRPr="00C44189">
        <w:rPr>
          <w:rFonts w:cs="Arial"/>
          <w:szCs w:val="16"/>
        </w:rPr>
        <w:t>.</w:t>
      </w:r>
    </w:p>
  </w:footnote>
  <w:footnote w:id="94">
    <w:p w14:paraId="27CD908B" w14:textId="3A98A49C" w:rsidR="00F37EE4" w:rsidRPr="00C44189" w:rsidRDefault="00F37EE4"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494E2D" w:rsidRPr="00C44189">
        <w:rPr>
          <w:rFonts w:cs="Arial"/>
          <w:szCs w:val="16"/>
        </w:rPr>
        <w:t xml:space="preserve">Act CLXII of 2011 on the status and remuneration of judges </w:t>
      </w:r>
      <w:r w:rsidR="00A16788" w:rsidRPr="00C44189">
        <w:rPr>
          <w:rFonts w:cs="Arial"/>
          <w:szCs w:val="16"/>
        </w:rPr>
        <w:t>(</w:t>
      </w:r>
      <w:r w:rsidR="006F43D7" w:rsidRPr="0055056D">
        <w:rPr>
          <w:rFonts w:cs="Arial"/>
          <w:szCs w:val="16"/>
        </w:rPr>
        <w:t xml:space="preserve">2011. </w:t>
      </w:r>
      <w:proofErr w:type="spellStart"/>
      <w:r w:rsidR="006F43D7" w:rsidRPr="0055056D">
        <w:rPr>
          <w:rFonts w:cs="Arial"/>
          <w:szCs w:val="16"/>
        </w:rPr>
        <w:t>évi</w:t>
      </w:r>
      <w:proofErr w:type="spellEnd"/>
      <w:r w:rsidR="006F43D7" w:rsidRPr="0055056D">
        <w:rPr>
          <w:rFonts w:cs="Arial"/>
          <w:szCs w:val="16"/>
        </w:rPr>
        <w:t xml:space="preserve"> CLXII. </w:t>
      </w:r>
      <w:proofErr w:type="spellStart"/>
      <w:r w:rsidR="006F43D7" w:rsidRPr="0055056D">
        <w:rPr>
          <w:rFonts w:cs="Arial"/>
          <w:szCs w:val="16"/>
        </w:rPr>
        <w:t>Törvény</w:t>
      </w:r>
      <w:proofErr w:type="spellEnd"/>
      <w:r w:rsidR="006F43D7" w:rsidRPr="0055056D">
        <w:rPr>
          <w:rFonts w:cs="Arial"/>
          <w:szCs w:val="16"/>
        </w:rPr>
        <w:t xml:space="preserve"> a </w:t>
      </w:r>
      <w:proofErr w:type="spellStart"/>
      <w:r w:rsidR="006F43D7" w:rsidRPr="0055056D">
        <w:rPr>
          <w:rFonts w:cs="Arial"/>
          <w:szCs w:val="16"/>
        </w:rPr>
        <w:t>bírák</w:t>
      </w:r>
      <w:proofErr w:type="spellEnd"/>
      <w:r w:rsidR="006F43D7" w:rsidRPr="0055056D">
        <w:rPr>
          <w:rFonts w:cs="Arial"/>
          <w:szCs w:val="16"/>
        </w:rPr>
        <w:t xml:space="preserve"> </w:t>
      </w:r>
      <w:proofErr w:type="spellStart"/>
      <w:r w:rsidR="006F43D7" w:rsidRPr="0055056D">
        <w:rPr>
          <w:rFonts w:cs="Arial"/>
          <w:szCs w:val="16"/>
        </w:rPr>
        <w:t>jogállásáról</w:t>
      </w:r>
      <w:proofErr w:type="spellEnd"/>
      <w:r w:rsidR="006F43D7" w:rsidRPr="0055056D">
        <w:rPr>
          <w:rFonts w:cs="Arial"/>
          <w:szCs w:val="16"/>
        </w:rPr>
        <w:t xml:space="preserve"> </w:t>
      </w:r>
      <w:proofErr w:type="spellStart"/>
      <w:r w:rsidR="006F43D7" w:rsidRPr="0055056D">
        <w:rPr>
          <w:rFonts w:cs="Arial"/>
          <w:szCs w:val="16"/>
        </w:rPr>
        <w:t>és</w:t>
      </w:r>
      <w:proofErr w:type="spellEnd"/>
      <w:r w:rsidR="006F43D7" w:rsidRPr="0055056D">
        <w:rPr>
          <w:rFonts w:cs="Arial"/>
          <w:szCs w:val="16"/>
        </w:rPr>
        <w:t xml:space="preserve"> </w:t>
      </w:r>
      <w:proofErr w:type="spellStart"/>
      <w:r w:rsidR="006F43D7" w:rsidRPr="0055056D">
        <w:rPr>
          <w:rFonts w:cs="Arial"/>
          <w:szCs w:val="16"/>
        </w:rPr>
        <w:t>javadalmazásáról</w:t>
      </w:r>
      <w:proofErr w:type="spellEnd"/>
      <w:r w:rsidR="00A16788" w:rsidRPr="00C44189">
        <w:rPr>
          <w:rFonts w:cs="Arial"/>
          <w:szCs w:val="16"/>
        </w:rPr>
        <w:t>)</w:t>
      </w:r>
      <w:r w:rsidR="006F43D7" w:rsidRPr="00C44189">
        <w:rPr>
          <w:rFonts w:cs="Arial"/>
          <w:szCs w:val="16"/>
        </w:rPr>
        <w:t>, available at https://njt.hu/jogszabaly/2011-162-00-00</w:t>
      </w:r>
      <w:r w:rsidR="00A16788" w:rsidRPr="00C44189">
        <w:rPr>
          <w:rFonts w:cs="Arial"/>
          <w:szCs w:val="16"/>
        </w:rPr>
        <w:t>;</w:t>
      </w:r>
      <w:r w:rsidR="00927F9F" w:rsidRPr="00C44189">
        <w:rPr>
          <w:rFonts w:cs="Arial"/>
          <w:szCs w:val="16"/>
        </w:rPr>
        <w:t xml:space="preserve"> See also</w:t>
      </w:r>
      <w:r w:rsidR="004C7DBB" w:rsidRPr="00C44189">
        <w:rPr>
          <w:rFonts w:cs="Arial"/>
          <w:szCs w:val="16"/>
        </w:rPr>
        <w:t xml:space="preserve"> Commission Staff Working Document, 2022 Rule of Law Report, Country Chapter on the rule of law situation in Hungary</w:t>
      </w:r>
      <w:r w:rsidRPr="00C44189">
        <w:rPr>
          <w:rFonts w:cs="Arial"/>
          <w:szCs w:val="16"/>
        </w:rPr>
        <w:t xml:space="preserve">, p.3; and </w:t>
      </w:r>
      <w:r w:rsidR="00F03362" w:rsidRPr="00C44189">
        <w:rPr>
          <w:rFonts w:cs="Arial"/>
          <w:szCs w:val="16"/>
        </w:rPr>
        <w:t>Contributions of Hungarian CSOs to the European Commission’s Rule of Law Report, January 2023</w:t>
      </w:r>
      <w:r w:rsidRPr="00C44189">
        <w:rPr>
          <w:rFonts w:cs="Arial"/>
          <w:szCs w:val="16"/>
        </w:rPr>
        <w:t>, p. 4.</w:t>
      </w:r>
    </w:p>
  </w:footnote>
  <w:footnote w:id="95">
    <w:p w14:paraId="0269DA69" w14:textId="66B58A8E" w:rsidR="006E48D0" w:rsidRPr="00C44189" w:rsidRDefault="006E48D0"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BB0C8E" w:rsidRPr="00C44189">
        <w:rPr>
          <w:rFonts w:cs="Arial"/>
          <w:szCs w:val="16"/>
        </w:rPr>
        <w:t>Contributions of Hungarian CSOs to the European Commission’s Rule of Law Report, January 2023</w:t>
      </w:r>
      <w:r w:rsidRPr="00C44189">
        <w:rPr>
          <w:rFonts w:cs="Arial"/>
          <w:szCs w:val="16"/>
        </w:rPr>
        <w:t>, p. 4-5.</w:t>
      </w:r>
    </w:p>
  </w:footnote>
  <w:footnote w:id="96">
    <w:p w14:paraId="65D70F3E" w14:textId="16BB79D3" w:rsidR="00EF3F5A" w:rsidRPr="00C44189" w:rsidRDefault="00EF3F5A"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Article</w:t>
      </w:r>
      <w:r w:rsidR="00BB745A" w:rsidRPr="00C44189">
        <w:rPr>
          <w:rFonts w:cs="Arial"/>
          <w:szCs w:val="16"/>
        </w:rPr>
        <w:t xml:space="preserve">s 25(6) and </w:t>
      </w:r>
      <w:r w:rsidRPr="00C44189">
        <w:rPr>
          <w:rFonts w:cs="Arial"/>
          <w:szCs w:val="16"/>
        </w:rPr>
        <w:t>26(3) of the Fundamental Law.</w:t>
      </w:r>
    </w:p>
  </w:footnote>
  <w:footnote w:id="97">
    <w:p w14:paraId="5C8976AC" w14:textId="29307A22" w:rsidR="006E48D0" w:rsidRPr="00C44189" w:rsidRDefault="006E48D0"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BB0C8E" w:rsidRPr="00C44189">
        <w:rPr>
          <w:rFonts w:cs="Arial"/>
          <w:szCs w:val="16"/>
        </w:rPr>
        <w:t>Contributions of Hungarian CSOs to the European Commission’s Rule of Law Report, January 2023</w:t>
      </w:r>
      <w:r w:rsidRPr="00C44189">
        <w:rPr>
          <w:rFonts w:cs="Arial"/>
          <w:szCs w:val="16"/>
        </w:rPr>
        <w:t>, p. 4</w:t>
      </w:r>
      <w:r w:rsidR="004959F1" w:rsidRPr="00C44189">
        <w:rPr>
          <w:rFonts w:cs="Arial"/>
          <w:szCs w:val="16"/>
        </w:rPr>
        <w:t>-5</w:t>
      </w:r>
      <w:r w:rsidRPr="00C44189">
        <w:rPr>
          <w:rFonts w:cs="Arial"/>
          <w:szCs w:val="16"/>
        </w:rPr>
        <w:t>.</w:t>
      </w:r>
    </w:p>
  </w:footnote>
  <w:footnote w:id="98">
    <w:p w14:paraId="3D3B17BC" w14:textId="77777777" w:rsidR="001E174A" w:rsidRPr="00C44189" w:rsidRDefault="001E174A"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Article 7(1) and 8(1) of Act CLXII of 2011 on the status and remuneration of judges.</w:t>
      </w:r>
    </w:p>
  </w:footnote>
  <w:footnote w:id="99">
    <w:p w14:paraId="39EB901D" w14:textId="3F11BB38" w:rsidR="00D5316F" w:rsidRPr="00C44189" w:rsidRDefault="00D5316F"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BB0C8E" w:rsidRPr="00C44189">
        <w:rPr>
          <w:rFonts w:cs="Arial"/>
          <w:szCs w:val="16"/>
        </w:rPr>
        <w:t>Contributions of Hungarian CSOs to the European Commission’s Rule of Law Report, January 2023</w:t>
      </w:r>
      <w:r w:rsidRPr="00C44189">
        <w:rPr>
          <w:rFonts w:cs="Arial"/>
          <w:szCs w:val="16"/>
        </w:rPr>
        <w:t xml:space="preserve">, p. </w:t>
      </w:r>
      <w:r w:rsidR="008C3027" w:rsidRPr="00C44189">
        <w:rPr>
          <w:rFonts w:cs="Arial"/>
          <w:szCs w:val="16"/>
        </w:rPr>
        <w:t>7</w:t>
      </w:r>
      <w:r w:rsidRPr="00C44189">
        <w:rPr>
          <w:rFonts w:cs="Arial"/>
          <w:szCs w:val="16"/>
        </w:rPr>
        <w:t>.</w:t>
      </w:r>
    </w:p>
  </w:footnote>
  <w:footnote w:id="100">
    <w:p w14:paraId="647ECB17" w14:textId="3839C9EC" w:rsidR="001F206A" w:rsidRPr="00C44189" w:rsidRDefault="001F206A"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BB0C8E" w:rsidRPr="00C44189">
        <w:rPr>
          <w:rFonts w:cs="Arial"/>
          <w:szCs w:val="16"/>
        </w:rPr>
        <w:t>Contributions of Hungarian CSOs to the European Commission’s Rule of Law Report, January 2023</w:t>
      </w:r>
      <w:r w:rsidRPr="00C44189">
        <w:rPr>
          <w:rFonts w:cs="Arial"/>
          <w:szCs w:val="16"/>
        </w:rPr>
        <w:t>, p. 5.</w:t>
      </w:r>
    </w:p>
  </w:footnote>
  <w:footnote w:id="101">
    <w:p w14:paraId="1E34F538" w14:textId="1C0432D6" w:rsidR="002A502C" w:rsidRPr="00C44189" w:rsidRDefault="002A502C"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BB0C8E" w:rsidRPr="00C44189">
        <w:rPr>
          <w:rFonts w:cs="Arial"/>
          <w:szCs w:val="16"/>
        </w:rPr>
        <w:t>Contributions of Hungarian CSOs to the European Commission’s Rule of Law Report, January 2023</w:t>
      </w:r>
      <w:r w:rsidRPr="00C44189">
        <w:rPr>
          <w:rFonts w:cs="Arial"/>
          <w:szCs w:val="16"/>
        </w:rPr>
        <w:t>, p. 7.</w:t>
      </w:r>
    </w:p>
  </w:footnote>
  <w:footnote w:id="102">
    <w:p w14:paraId="6EF68929" w14:textId="06CBDD82" w:rsidR="00AD525C" w:rsidRPr="00C44189" w:rsidRDefault="00AD525C"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D97B1C" w:rsidRPr="00C44189">
        <w:rPr>
          <w:rFonts w:cs="Arial"/>
          <w:szCs w:val="16"/>
        </w:rPr>
        <w:t>European Network of Councils for the Judiciary (</w:t>
      </w:r>
      <w:r w:rsidR="00B938DA" w:rsidRPr="00C44189">
        <w:rPr>
          <w:rFonts w:cs="Arial"/>
          <w:szCs w:val="16"/>
        </w:rPr>
        <w:t>EN</w:t>
      </w:r>
      <w:r w:rsidR="00280FA7" w:rsidRPr="00C44189">
        <w:rPr>
          <w:rFonts w:cs="Arial"/>
          <w:szCs w:val="16"/>
        </w:rPr>
        <w:t>CJ)</w:t>
      </w:r>
      <w:r w:rsidR="002E7430" w:rsidRPr="00C44189">
        <w:rPr>
          <w:rFonts w:cs="Arial"/>
          <w:szCs w:val="16"/>
        </w:rPr>
        <w:t xml:space="preserve">, </w:t>
      </w:r>
      <w:r w:rsidR="00F03362" w:rsidRPr="0055056D">
        <w:rPr>
          <w:rFonts w:cs="Arial"/>
          <w:szCs w:val="16"/>
        </w:rPr>
        <w:t>ENCJ Survey on the Independence of Judges</w:t>
      </w:r>
      <w:r w:rsidR="002E7430" w:rsidRPr="00C44189">
        <w:rPr>
          <w:rFonts w:cs="Arial"/>
          <w:szCs w:val="16"/>
        </w:rPr>
        <w:t>, 2022</w:t>
      </w:r>
      <w:r w:rsidR="00F03362" w:rsidRPr="00C44189">
        <w:rPr>
          <w:rFonts w:cs="Arial"/>
          <w:szCs w:val="16"/>
        </w:rPr>
        <w:t>, available at https://pgwrk-websitemedia.s3.eu-west-1.amazonaws.com/production/pwk-web-encj2017-p/GA 22/Report ENCJ Survey 2022.pdf</w:t>
      </w:r>
      <w:r w:rsidR="001D2CB3" w:rsidRPr="00C44189">
        <w:rPr>
          <w:rFonts w:cs="Arial"/>
          <w:szCs w:val="16"/>
        </w:rPr>
        <w:t xml:space="preserve">; cited in </w:t>
      </w:r>
      <w:r w:rsidR="00F03362" w:rsidRPr="00C44189">
        <w:rPr>
          <w:rFonts w:cs="Arial"/>
          <w:szCs w:val="16"/>
        </w:rPr>
        <w:t>Contributions of Hungarian CSOs to the European Commission’s Rule of Law Report, January 2023</w:t>
      </w:r>
      <w:r w:rsidR="001D2CB3" w:rsidRPr="00C44189">
        <w:rPr>
          <w:rFonts w:cs="Arial"/>
          <w:szCs w:val="16"/>
        </w:rPr>
        <w:t xml:space="preserve">, p. </w:t>
      </w:r>
      <w:r w:rsidR="00F574EC" w:rsidRPr="00C44189">
        <w:rPr>
          <w:rFonts w:cs="Arial"/>
          <w:szCs w:val="16"/>
        </w:rPr>
        <w:t>24</w:t>
      </w:r>
      <w:r w:rsidR="001D2CB3" w:rsidRPr="00C44189">
        <w:rPr>
          <w:rFonts w:cs="Arial"/>
          <w:szCs w:val="16"/>
        </w:rPr>
        <w:t>.</w:t>
      </w:r>
    </w:p>
  </w:footnote>
  <w:footnote w:id="103">
    <w:p w14:paraId="2461672C" w14:textId="55FD881C" w:rsidR="00335EDD" w:rsidRPr="00C44189" w:rsidRDefault="00335EDD"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BB0C8E" w:rsidRPr="00C44189">
        <w:rPr>
          <w:rFonts w:cs="Arial"/>
          <w:szCs w:val="16"/>
        </w:rPr>
        <w:t>Contributions of Hungarian CSOs to the European Commission’s Rule of Law Report, January 2023</w:t>
      </w:r>
      <w:r w:rsidR="00DA6F18" w:rsidRPr="00C44189">
        <w:rPr>
          <w:rFonts w:cs="Arial"/>
          <w:szCs w:val="16"/>
        </w:rPr>
        <w:t>, p. 9.</w:t>
      </w:r>
    </w:p>
  </w:footnote>
  <w:footnote w:id="104">
    <w:p w14:paraId="69DC4C02" w14:textId="43FA4627" w:rsidR="00315D1C" w:rsidRPr="00C44189" w:rsidRDefault="00315D1C"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2B61A0" w:rsidRPr="00C44189">
        <w:rPr>
          <w:rFonts w:cs="Arial"/>
          <w:szCs w:val="16"/>
        </w:rPr>
        <w:t>Hungarian Helsinki Committee, New study on case allocation in courts: Current system does not prevent abuse</w:t>
      </w:r>
      <w:r w:rsidR="008D66D1" w:rsidRPr="00C44189">
        <w:rPr>
          <w:rFonts w:cs="Arial"/>
          <w:szCs w:val="16"/>
        </w:rPr>
        <w:t xml:space="preserve">, </w:t>
      </w:r>
      <w:r w:rsidR="008351E7" w:rsidRPr="00C44189">
        <w:rPr>
          <w:rFonts w:cs="Arial"/>
          <w:szCs w:val="16"/>
        </w:rPr>
        <w:t xml:space="preserve">27 June 2019, available at: </w:t>
      </w:r>
      <w:hyperlink r:id="rId33" w:history="1">
        <w:r w:rsidR="00E6525C" w:rsidRPr="00C44189">
          <w:rPr>
            <w:rStyle w:val="Collegamentoipertestuale"/>
            <w:rFonts w:cs="Arial"/>
            <w:szCs w:val="16"/>
          </w:rPr>
          <w:t>https://helsinki.hu/en/new-study-on-case-allocation-in-courts-current-system-does-not-prevent-abuse/</w:t>
        </w:r>
      </w:hyperlink>
      <w:r w:rsidR="00E6525C" w:rsidRPr="00C44189">
        <w:rPr>
          <w:rFonts w:cs="Arial"/>
          <w:szCs w:val="16"/>
        </w:rPr>
        <w:t xml:space="preserve"> </w:t>
      </w:r>
    </w:p>
  </w:footnote>
  <w:footnote w:id="105">
    <w:p w14:paraId="1C6C02D1" w14:textId="7A5B89BD" w:rsidR="003052D9" w:rsidRPr="00C44189" w:rsidRDefault="003052D9"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Hungarian Helsinki Committee, </w:t>
      </w:r>
      <w:r w:rsidR="00924D91" w:rsidRPr="0055056D">
        <w:rPr>
          <w:rFonts w:cs="Arial"/>
          <w:szCs w:val="16"/>
        </w:rPr>
        <w:t>Court Capture Project Completed – The Hungarian recipe for getting a grip on the judiciary</w:t>
      </w:r>
      <w:r w:rsidRPr="00C44189">
        <w:rPr>
          <w:rFonts w:cs="Arial"/>
          <w:szCs w:val="16"/>
        </w:rPr>
        <w:t>, 26 October 2022</w:t>
      </w:r>
      <w:r w:rsidR="00924D91" w:rsidRPr="00C44189">
        <w:rPr>
          <w:rFonts w:cs="Arial"/>
          <w:szCs w:val="16"/>
        </w:rPr>
        <w:t>, available at https://helsinki.hu/en/wp content/uploads/sites/2/2022/11/Court-Capture-Project-Completed-20221026-.pdf</w:t>
      </w:r>
      <w:r w:rsidR="004B1866" w:rsidRPr="00C44189">
        <w:rPr>
          <w:rFonts w:cs="Arial"/>
          <w:szCs w:val="16"/>
        </w:rPr>
        <w:t>.</w:t>
      </w:r>
      <w:r w:rsidRPr="00C44189">
        <w:rPr>
          <w:rFonts w:cs="Arial"/>
          <w:szCs w:val="16"/>
        </w:rPr>
        <w:t xml:space="preserve"> </w:t>
      </w:r>
    </w:p>
  </w:footnote>
  <w:footnote w:id="106">
    <w:p w14:paraId="5B567EF7" w14:textId="2B84B276" w:rsidR="00485B94" w:rsidRPr="00C44189" w:rsidRDefault="00485B94"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924D91" w:rsidRPr="00C44189">
        <w:rPr>
          <w:rFonts w:cs="Arial"/>
          <w:szCs w:val="16"/>
        </w:rPr>
        <w:t>Ibid</w:t>
      </w:r>
      <w:r w:rsidR="00BC6BDC" w:rsidRPr="00C44189">
        <w:rPr>
          <w:rFonts w:cs="Arial"/>
          <w:szCs w:val="16"/>
        </w:rPr>
        <w:t>.</w:t>
      </w:r>
    </w:p>
  </w:footnote>
  <w:footnote w:id="107">
    <w:p w14:paraId="05D42B4E" w14:textId="77777777" w:rsidR="005A5730" w:rsidRPr="00C44189" w:rsidRDefault="005A5730"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Commission Staff Working Document, 2022 Rule of Law Report, Country Chapter on the rule of law situation in Hungary, p 28 available at: </w:t>
      </w:r>
      <w:hyperlink r:id="rId34" w:history="1">
        <w:r w:rsidRPr="00C44189">
          <w:rPr>
            <w:rStyle w:val="Collegamentoipertestuale"/>
            <w:rFonts w:cs="Arial"/>
            <w:szCs w:val="16"/>
          </w:rPr>
          <w:t>https://commission.europa.eu/system/files/2022-07/40_1_193993_coun_chap_hungary_en.pdf</w:t>
        </w:r>
      </w:hyperlink>
    </w:p>
  </w:footnote>
  <w:footnote w:id="108">
    <w:p w14:paraId="378E018A" w14:textId="77777777" w:rsidR="005A5730" w:rsidRPr="00C44189" w:rsidRDefault="005A5730"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Article 54 of the 2011 Fundamental Law of Hungary available at: </w:t>
      </w:r>
      <w:hyperlink r:id="rId35" w:history="1">
        <w:r w:rsidRPr="00C44189">
          <w:rPr>
            <w:rStyle w:val="Collegamentoipertestuale"/>
            <w:rFonts w:cs="Arial"/>
            <w:szCs w:val="16"/>
          </w:rPr>
          <w:t>https://net.jogtar.hu/jogszabaly?docid=a1100425.atv</w:t>
        </w:r>
      </w:hyperlink>
      <w:r w:rsidRPr="00C44189">
        <w:rPr>
          <w:rFonts w:cs="Arial"/>
          <w:szCs w:val="16"/>
        </w:rPr>
        <w:t xml:space="preserve"> </w:t>
      </w:r>
    </w:p>
  </w:footnote>
  <w:footnote w:id="109">
    <w:p w14:paraId="5DDDD96E" w14:textId="77777777" w:rsidR="005A5730" w:rsidRPr="00C44189" w:rsidRDefault="005A5730"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Article 24 (1)e) of the 2011 Fundamental Law of Hungary available at: </w:t>
      </w:r>
      <w:hyperlink r:id="rId36" w:history="1">
        <w:r w:rsidRPr="00C44189">
          <w:rPr>
            <w:rStyle w:val="Collegamentoipertestuale"/>
            <w:rFonts w:cs="Arial"/>
            <w:szCs w:val="16"/>
          </w:rPr>
          <w:t>https://net.jogtar.hu/jogszabaly?docid=a1100425.atv</w:t>
        </w:r>
      </w:hyperlink>
      <w:r w:rsidRPr="00C44189">
        <w:rPr>
          <w:rFonts w:cs="Arial"/>
          <w:szCs w:val="16"/>
        </w:rPr>
        <w:t xml:space="preserve"> </w:t>
      </w:r>
    </w:p>
  </w:footnote>
  <w:footnote w:id="110">
    <w:p w14:paraId="22EB4A0C" w14:textId="77777777" w:rsidR="005A5730" w:rsidRPr="00C44189" w:rsidRDefault="005A5730"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proofErr w:type="spellStart"/>
      <w:r w:rsidRPr="00C44189">
        <w:rPr>
          <w:rFonts w:cs="Arial"/>
          <w:szCs w:val="16"/>
        </w:rPr>
        <w:t>Gábor</w:t>
      </w:r>
      <w:proofErr w:type="spellEnd"/>
      <w:r w:rsidRPr="00C44189">
        <w:rPr>
          <w:rFonts w:cs="Arial"/>
          <w:szCs w:val="16"/>
        </w:rPr>
        <w:t xml:space="preserve"> </w:t>
      </w:r>
      <w:proofErr w:type="spellStart"/>
      <w:r w:rsidRPr="00C44189">
        <w:rPr>
          <w:rFonts w:cs="Arial"/>
          <w:szCs w:val="16"/>
        </w:rPr>
        <w:t>Halmai</w:t>
      </w:r>
      <w:proofErr w:type="spellEnd"/>
      <w:r w:rsidRPr="00C44189">
        <w:rPr>
          <w:rFonts w:cs="Arial"/>
          <w:szCs w:val="16"/>
        </w:rPr>
        <w:t xml:space="preserve">; Kim Lane </w:t>
      </w:r>
      <w:proofErr w:type="spellStart"/>
      <w:r w:rsidRPr="00C44189">
        <w:rPr>
          <w:rFonts w:cs="Arial"/>
          <w:szCs w:val="16"/>
        </w:rPr>
        <w:t>Scheppele</w:t>
      </w:r>
      <w:proofErr w:type="spellEnd"/>
      <w:r w:rsidRPr="00C44189">
        <w:rPr>
          <w:rFonts w:cs="Arial"/>
          <w:szCs w:val="16"/>
        </w:rPr>
        <w:t xml:space="preserve">, Don’t Be Fooled by Autocrats! Why Hungary’s Emergency Violates Rule of Law, EUI Constitutionalism and Politics, 22 April 2020 available at: </w:t>
      </w:r>
      <w:hyperlink r:id="rId37" w:history="1">
        <w:r w:rsidRPr="00C44189">
          <w:rPr>
            <w:rStyle w:val="Collegamentoipertestuale"/>
            <w:rFonts w:cs="Arial"/>
            <w:szCs w:val="16"/>
          </w:rPr>
          <w:t>https://blogs.eui.eu/constitutionalism-politics-working-group/dont-fooled-autocrats-hungarys-emergency-violates-rule-law/</w:t>
        </w:r>
      </w:hyperlink>
      <w:r w:rsidRPr="00C44189">
        <w:rPr>
          <w:rFonts w:cs="Arial"/>
          <w:szCs w:val="16"/>
        </w:rPr>
        <w:t xml:space="preserve"> </w:t>
      </w:r>
    </w:p>
  </w:footnote>
  <w:footnote w:id="111">
    <w:p w14:paraId="37847637" w14:textId="77777777" w:rsidR="005A5730" w:rsidRPr="00C44189" w:rsidRDefault="005A5730"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Commission Staff Working Document, 2022 Rule of Law Report, Country Chapter on the rule of law situation in Hungary, p 25 available at: </w:t>
      </w:r>
      <w:hyperlink r:id="rId38" w:history="1">
        <w:r w:rsidRPr="00C44189">
          <w:rPr>
            <w:rStyle w:val="Collegamentoipertestuale"/>
            <w:rFonts w:cs="Arial"/>
            <w:szCs w:val="16"/>
          </w:rPr>
          <w:t>https://commission.europa.eu/system/files/2022-07/40_1_193993_coun_chap_hungary_en.pdf</w:t>
        </w:r>
      </w:hyperlink>
      <w:r w:rsidRPr="00C44189">
        <w:rPr>
          <w:rFonts w:cs="Arial"/>
          <w:szCs w:val="16"/>
        </w:rPr>
        <w:t xml:space="preserve"> </w:t>
      </w:r>
    </w:p>
  </w:footnote>
  <w:footnote w:id="112">
    <w:p w14:paraId="6FB7FD3C" w14:textId="77777777" w:rsidR="005A5730" w:rsidRPr="00C44189" w:rsidRDefault="005A5730"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proofErr w:type="spellStart"/>
      <w:r w:rsidRPr="00C44189">
        <w:rPr>
          <w:rFonts w:cs="Arial"/>
          <w:szCs w:val="16"/>
        </w:rPr>
        <w:t>Ezalanyeg</w:t>
      </w:r>
      <w:proofErr w:type="spellEnd"/>
      <w:r w:rsidRPr="00C44189">
        <w:rPr>
          <w:rFonts w:cs="Arial"/>
          <w:szCs w:val="16"/>
        </w:rPr>
        <w:t>, Hungarian Medical Chamber: hospitals are where they heal, that's what the press should show (</w:t>
      </w:r>
      <w:r w:rsidRPr="00C44189">
        <w:rPr>
          <w:rFonts w:cs="Arial"/>
          <w:i/>
          <w:iCs/>
          <w:szCs w:val="16"/>
        </w:rPr>
        <w:t xml:space="preserve">Magyar </w:t>
      </w:r>
      <w:proofErr w:type="spellStart"/>
      <w:r w:rsidRPr="00C44189">
        <w:rPr>
          <w:rFonts w:cs="Arial"/>
          <w:i/>
          <w:iCs/>
          <w:szCs w:val="16"/>
        </w:rPr>
        <w:t>Orvosi</w:t>
      </w:r>
      <w:proofErr w:type="spellEnd"/>
      <w:r w:rsidRPr="00C44189">
        <w:rPr>
          <w:rFonts w:cs="Arial"/>
          <w:i/>
          <w:iCs/>
          <w:szCs w:val="16"/>
        </w:rPr>
        <w:t xml:space="preserve"> Kamara: A </w:t>
      </w:r>
      <w:proofErr w:type="spellStart"/>
      <w:r w:rsidRPr="00C44189">
        <w:rPr>
          <w:rFonts w:cs="Arial"/>
          <w:i/>
          <w:iCs/>
          <w:szCs w:val="16"/>
        </w:rPr>
        <w:t>kórházakban</w:t>
      </w:r>
      <w:proofErr w:type="spellEnd"/>
      <w:r w:rsidRPr="00C44189">
        <w:rPr>
          <w:rFonts w:cs="Arial"/>
          <w:i/>
          <w:iCs/>
          <w:szCs w:val="16"/>
        </w:rPr>
        <w:t xml:space="preserve"> </w:t>
      </w:r>
      <w:proofErr w:type="spellStart"/>
      <w:r w:rsidRPr="00C44189">
        <w:rPr>
          <w:rFonts w:cs="Arial"/>
          <w:i/>
          <w:iCs/>
          <w:szCs w:val="16"/>
        </w:rPr>
        <w:t>gyógyítanak</w:t>
      </w:r>
      <w:proofErr w:type="spellEnd"/>
      <w:r w:rsidRPr="00C44189">
        <w:rPr>
          <w:rFonts w:cs="Arial"/>
          <w:i/>
          <w:iCs/>
          <w:szCs w:val="16"/>
        </w:rPr>
        <w:t xml:space="preserve">, </w:t>
      </w:r>
      <w:proofErr w:type="spellStart"/>
      <w:r w:rsidRPr="00C44189">
        <w:rPr>
          <w:rFonts w:cs="Arial"/>
          <w:i/>
          <w:iCs/>
          <w:szCs w:val="16"/>
        </w:rPr>
        <w:t>ezt</w:t>
      </w:r>
      <w:proofErr w:type="spellEnd"/>
      <w:r w:rsidRPr="00C44189">
        <w:rPr>
          <w:rFonts w:cs="Arial"/>
          <w:i/>
          <w:iCs/>
          <w:szCs w:val="16"/>
        </w:rPr>
        <w:t xml:space="preserve"> </w:t>
      </w:r>
      <w:proofErr w:type="spellStart"/>
      <w:r w:rsidRPr="00C44189">
        <w:rPr>
          <w:rFonts w:cs="Arial"/>
          <w:i/>
          <w:iCs/>
          <w:szCs w:val="16"/>
        </w:rPr>
        <w:t>kell</w:t>
      </w:r>
      <w:proofErr w:type="spellEnd"/>
      <w:r w:rsidRPr="00C44189">
        <w:rPr>
          <w:rFonts w:cs="Arial"/>
          <w:i/>
          <w:iCs/>
          <w:szCs w:val="16"/>
        </w:rPr>
        <w:t xml:space="preserve"> </w:t>
      </w:r>
      <w:proofErr w:type="spellStart"/>
      <w:r w:rsidRPr="00C44189">
        <w:rPr>
          <w:rFonts w:cs="Arial"/>
          <w:i/>
          <w:iCs/>
          <w:szCs w:val="16"/>
        </w:rPr>
        <w:t>bemutatnia</w:t>
      </w:r>
      <w:proofErr w:type="spellEnd"/>
      <w:r w:rsidRPr="00C44189">
        <w:rPr>
          <w:rFonts w:cs="Arial"/>
          <w:i/>
          <w:iCs/>
          <w:szCs w:val="16"/>
        </w:rPr>
        <w:t xml:space="preserve"> a </w:t>
      </w:r>
      <w:proofErr w:type="spellStart"/>
      <w:r w:rsidRPr="00C44189">
        <w:rPr>
          <w:rFonts w:cs="Arial"/>
          <w:i/>
          <w:iCs/>
          <w:szCs w:val="16"/>
        </w:rPr>
        <w:t>sajtónak</w:t>
      </w:r>
      <w:proofErr w:type="spellEnd"/>
      <w:r w:rsidRPr="00C44189">
        <w:rPr>
          <w:rFonts w:cs="Arial"/>
          <w:i/>
          <w:iCs/>
          <w:szCs w:val="16"/>
        </w:rPr>
        <w:t>!</w:t>
      </w:r>
      <w:r w:rsidRPr="00C44189">
        <w:rPr>
          <w:rFonts w:cs="Arial"/>
          <w:szCs w:val="16"/>
        </w:rPr>
        <w:t xml:space="preserve">) 8 April 2021, available at: </w:t>
      </w:r>
      <w:hyperlink r:id="rId39" w:history="1">
        <w:r w:rsidRPr="00C44189">
          <w:rPr>
            <w:rStyle w:val="Collegamentoipertestuale"/>
            <w:rFonts w:cs="Arial"/>
            <w:szCs w:val="16"/>
          </w:rPr>
          <w:t>https://ezalenyeg.hu/orszagszerte/mok-a-korhazakban-gyogyitanak-ezt-kell-bemutatnia-a-sajtonak-57222</w:t>
        </w:r>
      </w:hyperlink>
      <w:r w:rsidRPr="00C44189">
        <w:rPr>
          <w:rFonts w:cs="Arial"/>
          <w:szCs w:val="16"/>
        </w:rPr>
        <w:t xml:space="preserve"> </w:t>
      </w:r>
    </w:p>
  </w:footnote>
  <w:footnote w:id="113">
    <w:p w14:paraId="007ADE29" w14:textId="77777777" w:rsidR="005A5730" w:rsidRPr="00C44189" w:rsidRDefault="005A5730"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Case number: 109.K.705.866/2021/5 (27 January 2022)</w:t>
      </w:r>
    </w:p>
  </w:footnote>
  <w:footnote w:id="114">
    <w:p w14:paraId="04A98C03" w14:textId="77777777" w:rsidR="005A5730" w:rsidRPr="00C44189" w:rsidRDefault="005A5730"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Government Decree 33/2022 of 4 February 2022</w:t>
      </w:r>
    </w:p>
  </w:footnote>
  <w:footnote w:id="115">
    <w:p w14:paraId="776CFCA5" w14:textId="77777777" w:rsidR="005A5730" w:rsidRPr="00C44189" w:rsidRDefault="005A5730"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Commission Staff Working Document, 2022 Rule of Law Report, Country Chapter on the rule of law situation in Hungary, p 25 available at: </w:t>
      </w:r>
      <w:hyperlink r:id="rId40" w:history="1">
        <w:r w:rsidRPr="00C44189">
          <w:rPr>
            <w:rStyle w:val="Collegamentoipertestuale"/>
            <w:rFonts w:cs="Arial"/>
            <w:szCs w:val="16"/>
          </w:rPr>
          <w:t>https://commission.europa.eu/system/files/2022-07/40_1_193993_coun_chap_hungary_en.pdf</w:t>
        </w:r>
      </w:hyperlink>
      <w:r w:rsidRPr="00C44189">
        <w:rPr>
          <w:rFonts w:cs="Arial"/>
          <w:szCs w:val="16"/>
        </w:rPr>
        <w:t xml:space="preserve"> </w:t>
      </w:r>
    </w:p>
  </w:footnote>
  <w:footnote w:id="116">
    <w:p w14:paraId="2B253C10" w14:textId="77777777" w:rsidR="005A5730" w:rsidRPr="00C44189" w:rsidRDefault="005A5730"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Pr="00C44189">
        <w:rPr>
          <w:rFonts w:cs="Arial"/>
          <w:szCs w:val="16"/>
          <w:lang w:val="en-US"/>
        </w:rPr>
        <w:t xml:space="preserve">Kinga </w:t>
      </w:r>
      <w:proofErr w:type="spellStart"/>
      <w:r w:rsidRPr="00C44189">
        <w:rPr>
          <w:rFonts w:cs="Arial"/>
          <w:szCs w:val="16"/>
          <w:lang w:val="en-US"/>
        </w:rPr>
        <w:t>Zakarias</w:t>
      </w:r>
      <w:proofErr w:type="spellEnd"/>
      <w:r w:rsidRPr="00C44189">
        <w:rPr>
          <w:rFonts w:cs="Arial"/>
          <w:szCs w:val="16"/>
          <w:lang w:val="en-US"/>
        </w:rPr>
        <w:t>, Scope of constitutional court review of judicial decisions in German and Hungarian practice (</w:t>
      </w:r>
      <w:r w:rsidRPr="00C44189">
        <w:rPr>
          <w:rFonts w:cs="Arial"/>
          <w:i/>
          <w:iCs/>
          <w:szCs w:val="16"/>
          <w:lang w:val="en-US"/>
        </w:rPr>
        <w:t xml:space="preserve">A </w:t>
      </w:r>
      <w:proofErr w:type="spellStart"/>
      <w:r w:rsidRPr="00C44189">
        <w:rPr>
          <w:rFonts w:cs="Arial"/>
          <w:i/>
          <w:iCs/>
          <w:szCs w:val="16"/>
          <w:lang w:val="en-US"/>
        </w:rPr>
        <w:t>bírói</w:t>
      </w:r>
      <w:proofErr w:type="spellEnd"/>
      <w:r w:rsidRPr="00C44189">
        <w:rPr>
          <w:rFonts w:cs="Arial"/>
          <w:i/>
          <w:iCs/>
          <w:szCs w:val="16"/>
          <w:lang w:val="en-US"/>
        </w:rPr>
        <w:t xml:space="preserve"> </w:t>
      </w:r>
      <w:proofErr w:type="spellStart"/>
      <w:r w:rsidRPr="00C44189">
        <w:rPr>
          <w:rFonts w:cs="Arial"/>
          <w:i/>
          <w:iCs/>
          <w:szCs w:val="16"/>
          <w:lang w:val="en-US"/>
        </w:rPr>
        <w:t>döntések</w:t>
      </w:r>
      <w:proofErr w:type="spellEnd"/>
      <w:r w:rsidRPr="00C44189">
        <w:rPr>
          <w:rFonts w:cs="Arial"/>
          <w:i/>
          <w:iCs/>
          <w:szCs w:val="16"/>
          <w:lang w:val="en-US"/>
        </w:rPr>
        <w:t xml:space="preserve"> </w:t>
      </w:r>
      <w:proofErr w:type="spellStart"/>
      <w:r w:rsidRPr="00C44189">
        <w:rPr>
          <w:rFonts w:cs="Arial"/>
          <w:i/>
          <w:iCs/>
          <w:szCs w:val="16"/>
          <w:lang w:val="en-US"/>
        </w:rPr>
        <w:t>alkotmánybírósági</w:t>
      </w:r>
      <w:proofErr w:type="spellEnd"/>
      <w:r w:rsidRPr="00C44189">
        <w:rPr>
          <w:rFonts w:cs="Arial"/>
          <w:i/>
          <w:iCs/>
          <w:szCs w:val="16"/>
          <w:lang w:val="en-US"/>
        </w:rPr>
        <w:t xml:space="preserve"> </w:t>
      </w:r>
      <w:proofErr w:type="spellStart"/>
      <w:r w:rsidRPr="00C44189">
        <w:rPr>
          <w:rFonts w:cs="Arial"/>
          <w:i/>
          <w:iCs/>
          <w:szCs w:val="16"/>
          <w:lang w:val="en-US"/>
        </w:rPr>
        <w:t>felülvizsgálatának</w:t>
      </w:r>
      <w:proofErr w:type="spellEnd"/>
      <w:r w:rsidRPr="00C44189">
        <w:rPr>
          <w:rFonts w:cs="Arial"/>
          <w:i/>
          <w:iCs/>
          <w:szCs w:val="16"/>
          <w:lang w:val="en-US"/>
        </w:rPr>
        <w:t xml:space="preserve"> </w:t>
      </w:r>
      <w:proofErr w:type="spellStart"/>
      <w:r w:rsidRPr="00C44189">
        <w:rPr>
          <w:rFonts w:cs="Arial"/>
          <w:i/>
          <w:iCs/>
          <w:szCs w:val="16"/>
          <w:lang w:val="en-US"/>
        </w:rPr>
        <w:t>terjedelme</w:t>
      </w:r>
      <w:proofErr w:type="spellEnd"/>
      <w:r w:rsidRPr="00C44189">
        <w:rPr>
          <w:rFonts w:cs="Arial"/>
          <w:i/>
          <w:iCs/>
          <w:szCs w:val="16"/>
          <w:lang w:val="en-US"/>
        </w:rPr>
        <w:t xml:space="preserve"> a </w:t>
      </w:r>
      <w:proofErr w:type="spellStart"/>
      <w:r w:rsidRPr="00C44189">
        <w:rPr>
          <w:rFonts w:cs="Arial"/>
          <w:i/>
          <w:iCs/>
          <w:szCs w:val="16"/>
          <w:lang w:val="en-US"/>
        </w:rPr>
        <w:t>német</w:t>
      </w:r>
      <w:proofErr w:type="spellEnd"/>
      <w:r w:rsidRPr="00C44189">
        <w:rPr>
          <w:rFonts w:cs="Arial"/>
          <w:i/>
          <w:iCs/>
          <w:szCs w:val="16"/>
          <w:lang w:val="en-US"/>
        </w:rPr>
        <w:t xml:space="preserve"> </w:t>
      </w:r>
      <w:proofErr w:type="spellStart"/>
      <w:r w:rsidRPr="00C44189">
        <w:rPr>
          <w:rFonts w:cs="Arial"/>
          <w:i/>
          <w:iCs/>
          <w:szCs w:val="16"/>
          <w:lang w:val="en-US"/>
        </w:rPr>
        <w:t>és</w:t>
      </w:r>
      <w:proofErr w:type="spellEnd"/>
      <w:r w:rsidRPr="00C44189">
        <w:rPr>
          <w:rFonts w:cs="Arial"/>
          <w:i/>
          <w:iCs/>
          <w:szCs w:val="16"/>
          <w:lang w:val="en-US"/>
        </w:rPr>
        <w:t xml:space="preserve"> </w:t>
      </w:r>
      <w:proofErr w:type="spellStart"/>
      <w:r w:rsidRPr="00C44189">
        <w:rPr>
          <w:rFonts w:cs="Arial"/>
          <w:i/>
          <w:iCs/>
          <w:szCs w:val="16"/>
          <w:lang w:val="en-US"/>
        </w:rPr>
        <w:t>magyar</w:t>
      </w:r>
      <w:proofErr w:type="spellEnd"/>
      <w:r w:rsidRPr="00C44189">
        <w:rPr>
          <w:rFonts w:cs="Arial"/>
          <w:i/>
          <w:iCs/>
          <w:szCs w:val="16"/>
          <w:lang w:val="en-US"/>
        </w:rPr>
        <w:t xml:space="preserve"> </w:t>
      </w:r>
      <w:proofErr w:type="spellStart"/>
      <w:r w:rsidRPr="00C44189">
        <w:rPr>
          <w:rFonts w:cs="Arial"/>
          <w:i/>
          <w:iCs/>
          <w:szCs w:val="16"/>
          <w:lang w:val="en-US"/>
        </w:rPr>
        <w:t>gyakorlatban</w:t>
      </w:r>
      <w:proofErr w:type="spellEnd"/>
      <w:r w:rsidRPr="00C44189">
        <w:rPr>
          <w:rFonts w:cs="Arial"/>
          <w:szCs w:val="16"/>
          <w:lang w:val="en-US"/>
        </w:rPr>
        <w:t xml:space="preserve">) March 2020 available at: </w:t>
      </w:r>
      <w:hyperlink r:id="rId41" w:anchor="_ftn2" w:history="1">
        <w:r w:rsidRPr="00C44189">
          <w:rPr>
            <w:rStyle w:val="Collegamentoipertestuale"/>
            <w:rFonts w:cs="Arial"/>
            <w:szCs w:val="16"/>
            <w:lang w:val="en-US"/>
          </w:rPr>
          <w:t>https://abszemle.hu/a-biroi-dontesek-alkotmanybirosagi-felulvizsgalatanak-terjedelme-a-nemet-es-magyar-gyakorlatban/#_ftn2</w:t>
        </w:r>
      </w:hyperlink>
      <w:r w:rsidRPr="00C44189">
        <w:rPr>
          <w:rFonts w:cs="Arial"/>
          <w:szCs w:val="16"/>
          <w:lang w:val="en-US"/>
        </w:rPr>
        <w:t xml:space="preserve"> </w:t>
      </w:r>
    </w:p>
  </w:footnote>
  <w:footnote w:id="117">
    <w:p w14:paraId="4E7DFE9D" w14:textId="77777777" w:rsidR="005A5730" w:rsidRPr="00C44189" w:rsidRDefault="005A5730"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Contributions of Hungarian NGOs to the European Commission’s Rule of Law Report, January 2022, p 52, available at: </w:t>
      </w:r>
      <w:hyperlink r:id="rId42" w:history="1">
        <w:r w:rsidRPr="00C44189">
          <w:rPr>
            <w:rStyle w:val="Collegamentoipertestuale"/>
            <w:rFonts w:cs="Arial"/>
            <w:szCs w:val="16"/>
          </w:rPr>
          <w:t>https://helsinki.hu/en/wp-content/uploads/sites/2/2022/01/HUN_NGO_contribution_EC_RoL_Report_2022.pdf</w:t>
        </w:r>
      </w:hyperlink>
      <w:r w:rsidRPr="00C44189">
        <w:rPr>
          <w:rFonts w:cs="Arial"/>
          <w:szCs w:val="16"/>
        </w:rPr>
        <w:t xml:space="preserve"> </w:t>
      </w:r>
    </w:p>
  </w:footnote>
  <w:footnote w:id="118">
    <w:p w14:paraId="529DADD7" w14:textId="77777777" w:rsidR="005A5730" w:rsidRPr="00C44189" w:rsidRDefault="005A5730"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Pr="00C44189">
        <w:rPr>
          <w:rFonts w:cs="Arial"/>
          <w:szCs w:val="16"/>
          <w:lang w:val="en-US"/>
        </w:rPr>
        <w:t>Constitutional Court, The Constitutional Court decided on the authentication of referendum questions (</w:t>
      </w:r>
      <w:proofErr w:type="spellStart"/>
      <w:r w:rsidRPr="00C44189">
        <w:rPr>
          <w:rFonts w:cs="Arial"/>
          <w:i/>
          <w:iCs/>
          <w:szCs w:val="16"/>
          <w:lang w:val="en-US"/>
        </w:rPr>
        <w:t>Népszavazási</w:t>
      </w:r>
      <w:proofErr w:type="spellEnd"/>
      <w:r w:rsidRPr="00C44189">
        <w:rPr>
          <w:rFonts w:cs="Arial"/>
          <w:i/>
          <w:iCs/>
          <w:szCs w:val="16"/>
          <w:lang w:val="en-US"/>
        </w:rPr>
        <w:t xml:space="preserve"> </w:t>
      </w:r>
      <w:proofErr w:type="spellStart"/>
      <w:r w:rsidRPr="00C44189">
        <w:rPr>
          <w:rFonts w:cs="Arial"/>
          <w:i/>
          <w:iCs/>
          <w:szCs w:val="16"/>
          <w:lang w:val="en-US"/>
        </w:rPr>
        <w:t>kérdések</w:t>
      </w:r>
      <w:proofErr w:type="spellEnd"/>
      <w:r w:rsidRPr="00C44189">
        <w:rPr>
          <w:rFonts w:cs="Arial"/>
          <w:i/>
          <w:iCs/>
          <w:szCs w:val="16"/>
          <w:lang w:val="en-US"/>
        </w:rPr>
        <w:t xml:space="preserve"> </w:t>
      </w:r>
      <w:proofErr w:type="spellStart"/>
      <w:r w:rsidRPr="00C44189">
        <w:rPr>
          <w:rFonts w:cs="Arial"/>
          <w:i/>
          <w:iCs/>
          <w:szCs w:val="16"/>
          <w:lang w:val="en-US"/>
        </w:rPr>
        <w:t>hitelesítése</w:t>
      </w:r>
      <w:proofErr w:type="spellEnd"/>
      <w:r w:rsidRPr="00C44189">
        <w:rPr>
          <w:rFonts w:cs="Arial"/>
          <w:i/>
          <w:iCs/>
          <w:szCs w:val="16"/>
          <w:lang w:val="en-US"/>
        </w:rPr>
        <w:t xml:space="preserve"> </w:t>
      </w:r>
      <w:proofErr w:type="spellStart"/>
      <w:r w:rsidRPr="00C44189">
        <w:rPr>
          <w:rFonts w:cs="Arial"/>
          <w:i/>
          <w:iCs/>
          <w:szCs w:val="16"/>
          <w:lang w:val="en-US"/>
        </w:rPr>
        <w:t>ügyében</w:t>
      </w:r>
      <w:proofErr w:type="spellEnd"/>
      <w:r w:rsidRPr="00C44189">
        <w:rPr>
          <w:rFonts w:cs="Arial"/>
          <w:i/>
          <w:iCs/>
          <w:szCs w:val="16"/>
          <w:lang w:val="en-US"/>
        </w:rPr>
        <w:t xml:space="preserve"> </w:t>
      </w:r>
      <w:proofErr w:type="spellStart"/>
      <w:r w:rsidRPr="00C44189">
        <w:rPr>
          <w:rFonts w:cs="Arial"/>
          <w:i/>
          <w:iCs/>
          <w:szCs w:val="16"/>
          <w:lang w:val="en-US"/>
        </w:rPr>
        <w:t>döntött</w:t>
      </w:r>
      <w:proofErr w:type="spellEnd"/>
      <w:r w:rsidRPr="00C44189">
        <w:rPr>
          <w:rFonts w:cs="Arial"/>
          <w:i/>
          <w:iCs/>
          <w:szCs w:val="16"/>
          <w:lang w:val="en-US"/>
        </w:rPr>
        <w:t xml:space="preserve"> </w:t>
      </w:r>
      <w:proofErr w:type="spellStart"/>
      <w:r w:rsidRPr="00C44189">
        <w:rPr>
          <w:rFonts w:cs="Arial"/>
          <w:i/>
          <w:iCs/>
          <w:szCs w:val="16"/>
          <w:lang w:val="en-US"/>
        </w:rPr>
        <w:t>az</w:t>
      </w:r>
      <w:proofErr w:type="spellEnd"/>
      <w:r w:rsidRPr="00C44189">
        <w:rPr>
          <w:rFonts w:cs="Arial"/>
          <w:i/>
          <w:iCs/>
          <w:szCs w:val="16"/>
          <w:lang w:val="en-US"/>
        </w:rPr>
        <w:t xml:space="preserve"> </w:t>
      </w:r>
      <w:proofErr w:type="spellStart"/>
      <w:r w:rsidRPr="00C44189">
        <w:rPr>
          <w:rFonts w:cs="Arial"/>
          <w:i/>
          <w:iCs/>
          <w:szCs w:val="16"/>
          <w:lang w:val="en-US"/>
        </w:rPr>
        <w:t>Alkotmánybíróság</w:t>
      </w:r>
      <w:proofErr w:type="spellEnd"/>
      <w:r w:rsidRPr="00C44189">
        <w:rPr>
          <w:rFonts w:cs="Arial"/>
          <w:szCs w:val="16"/>
          <w:lang w:val="en-US"/>
        </w:rPr>
        <w:t xml:space="preserve">), 18 May 2022 available at: </w:t>
      </w:r>
      <w:hyperlink r:id="rId43" w:history="1">
        <w:r w:rsidRPr="00C44189">
          <w:rPr>
            <w:rStyle w:val="Collegamentoipertestuale"/>
            <w:rFonts w:cs="Arial"/>
            <w:szCs w:val="16"/>
            <w:lang w:val="en-US"/>
          </w:rPr>
          <w:t>https://alkotmanybirosag.hu/kozlemeny/nepszavazasi-kerdesek-hitelesitese-ugyeben-dontott-az-alkotmanybirosag/</w:t>
        </w:r>
      </w:hyperlink>
      <w:r w:rsidRPr="00C44189">
        <w:rPr>
          <w:rFonts w:cs="Arial"/>
          <w:szCs w:val="16"/>
          <w:lang w:val="en-US"/>
        </w:rPr>
        <w:t xml:space="preserve"> </w:t>
      </w:r>
    </w:p>
  </w:footnote>
  <w:footnote w:id="119">
    <w:p w14:paraId="251047D1" w14:textId="77777777" w:rsidR="003850A1" w:rsidRPr="00C44189" w:rsidRDefault="003850A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Hungarian Civil Liberties Union (2021), ‘HCL filed a lawsuit against the unlawful </w:t>
      </w:r>
      <w:proofErr w:type="spellStart"/>
      <w:r w:rsidRPr="00C44189">
        <w:rPr>
          <w:rFonts w:cs="Arial"/>
          <w:szCs w:val="16"/>
        </w:rPr>
        <w:t>referndum</w:t>
      </w:r>
      <w:proofErr w:type="spellEnd"/>
      <w:r w:rsidRPr="00C44189">
        <w:rPr>
          <w:rFonts w:cs="Arial"/>
          <w:szCs w:val="16"/>
        </w:rPr>
        <w:t xml:space="preserve"> questions of the Government’ (</w:t>
      </w:r>
      <w:hyperlink r:id="rId44" w:history="1">
        <w:r w:rsidRPr="00C44189">
          <w:rPr>
            <w:rStyle w:val="Collegamentoipertestuale"/>
            <w:rFonts w:cs="Arial"/>
            <w:i/>
            <w:iCs/>
            <w:szCs w:val="16"/>
          </w:rPr>
          <w:t xml:space="preserve">A </w:t>
        </w:r>
        <w:proofErr w:type="spellStart"/>
        <w:r w:rsidRPr="00C44189">
          <w:rPr>
            <w:rStyle w:val="Collegamentoipertestuale"/>
            <w:rFonts w:cs="Arial"/>
            <w:i/>
            <w:iCs/>
            <w:szCs w:val="16"/>
          </w:rPr>
          <w:t>kormány</w:t>
        </w:r>
        <w:proofErr w:type="spellEnd"/>
        <w:r w:rsidRPr="00C44189">
          <w:rPr>
            <w:rStyle w:val="Collegamentoipertestuale"/>
            <w:rFonts w:cs="Arial"/>
            <w:i/>
            <w:iCs/>
            <w:szCs w:val="16"/>
          </w:rPr>
          <w:t xml:space="preserve"> </w:t>
        </w:r>
        <w:proofErr w:type="spellStart"/>
        <w:r w:rsidRPr="00C44189">
          <w:rPr>
            <w:rStyle w:val="Collegamentoipertestuale"/>
            <w:rFonts w:cs="Arial"/>
            <w:i/>
            <w:iCs/>
            <w:szCs w:val="16"/>
          </w:rPr>
          <w:t>jogsértő</w:t>
        </w:r>
        <w:proofErr w:type="spellEnd"/>
        <w:r w:rsidRPr="00C44189">
          <w:rPr>
            <w:rStyle w:val="Collegamentoipertestuale"/>
            <w:rFonts w:cs="Arial"/>
            <w:i/>
            <w:iCs/>
            <w:szCs w:val="16"/>
          </w:rPr>
          <w:t xml:space="preserve"> </w:t>
        </w:r>
        <w:proofErr w:type="spellStart"/>
        <w:r w:rsidRPr="00C44189">
          <w:rPr>
            <w:rStyle w:val="Collegamentoipertestuale"/>
            <w:rFonts w:cs="Arial"/>
            <w:i/>
            <w:iCs/>
            <w:szCs w:val="16"/>
          </w:rPr>
          <w:t>népszavazási</w:t>
        </w:r>
        <w:proofErr w:type="spellEnd"/>
        <w:r w:rsidRPr="00C44189">
          <w:rPr>
            <w:rStyle w:val="Collegamentoipertestuale"/>
            <w:rFonts w:cs="Arial"/>
            <w:i/>
            <w:iCs/>
            <w:szCs w:val="16"/>
          </w:rPr>
          <w:t xml:space="preserve"> </w:t>
        </w:r>
        <w:proofErr w:type="spellStart"/>
        <w:r w:rsidRPr="00C44189">
          <w:rPr>
            <w:rStyle w:val="Collegamentoipertestuale"/>
            <w:rFonts w:cs="Arial"/>
            <w:i/>
            <w:iCs/>
            <w:szCs w:val="16"/>
          </w:rPr>
          <w:t>kérdései</w:t>
        </w:r>
        <w:proofErr w:type="spellEnd"/>
        <w:r w:rsidRPr="00C44189">
          <w:rPr>
            <w:rStyle w:val="Collegamentoipertestuale"/>
            <w:rFonts w:cs="Arial"/>
            <w:i/>
            <w:iCs/>
            <w:szCs w:val="16"/>
          </w:rPr>
          <w:t xml:space="preserve"> </w:t>
        </w:r>
        <w:proofErr w:type="spellStart"/>
        <w:r w:rsidRPr="00C44189">
          <w:rPr>
            <w:rStyle w:val="Collegamentoipertestuale"/>
            <w:rFonts w:cs="Arial"/>
            <w:i/>
            <w:iCs/>
            <w:szCs w:val="16"/>
          </w:rPr>
          <w:t>miatt</w:t>
        </w:r>
        <w:proofErr w:type="spellEnd"/>
        <w:r w:rsidRPr="00C44189">
          <w:rPr>
            <w:rStyle w:val="Collegamentoipertestuale"/>
            <w:rFonts w:cs="Arial"/>
            <w:i/>
            <w:iCs/>
            <w:szCs w:val="16"/>
          </w:rPr>
          <w:t xml:space="preserve"> </w:t>
        </w:r>
        <w:proofErr w:type="spellStart"/>
        <w:r w:rsidRPr="00C44189">
          <w:rPr>
            <w:rStyle w:val="Collegamentoipertestuale"/>
            <w:rFonts w:cs="Arial"/>
            <w:i/>
            <w:iCs/>
            <w:szCs w:val="16"/>
          </w:rPr>
          <w:t>bírósághoz</w:t>
        </w:r>
        <w:proofErr w:type="spellEnd"/>
        <w:r w:rsidRPr="00C44189">
          <w:rPr>
            <w:rStyle w:val="Collegamentoipertestuale"/>
            <w:rFonts w:cs="Arial"/>
            <w:i/>
            <w:iCs/>
            <w:szCs w:val="16"/>
          </w:rPr>
          <w:t xml:space="preserve"> </w:t>
        </w:r>
        <w:proofErr w:type="spellStart"/>
        <w:r w:rsidRPr="00C44189">
          <w:rPr>
            <w:rStyle w:val="Collegamentoipertestuale"/>
            <w:rFonts w:cs="Arial"/>
            <w:i/>
            <w:iCs/>
            <w:szCs w:val="16"/>
          </w:rPr>
          <w:t>fordult</w:t>
        </w:r>
        <w:proofErr w:type="spellEnd"/>
        <w:r w:rsidRPr="00C44189">
          <w:rPr>
            <w:rStyle w:val="Collegamentoipertestuale"/>
            <w:rFonts w:cs="Arial"/>
            <w:i/>
            <w:iCs/>
            <w:szCs w:val="16"/>
          </w:rPr>
          <w:t xml:space="preserve"> a TASZ</w:t>
        </w:r>
      </w:hyperlink>
      <w:r w:rsidRPr="00C44189">
        <w:rPr>
          <w:rFonts w:cs="Arial"/>
          <w:szCs w:val="16"/>
        </w:rPr>
        <w:t>), 16 August 2021.</w:t>
      </w:r>
    </w:p>
  </w:footnote>
  <w:footnote w:id="120">
    <w:p w14:paraId="7C9FEAB3" w14:textId="77777777" w:rsidR="003850A1" w:rsidRPr="00C44189" w:rsidRDefault="003850A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Act CXVII of 2021 amending certain laws related to elections (</w:t>
      </w:r>
      <w:r w:rsidRPr="00C44189">
        <w:rPr>
          <w:rFonts w:cs="Arial"/>
          <w:i/>
          <w:szCs w:val="16"/>
        </w:rPr>
        <w:t xml:space="preserve">2021. </w:t>
      </w:r>
      <w:proofErr w:type="spellStart"/>
      <w:r w:rsidRPr="00C44189">
        <w:rPr>
          <w:rFonts w:cs="Arial"/>
          <w:i/>
          <w:szCs w:val="16"/>
        </w:rPr>
        <w:t>évi</w:t>
      </w:r>
      <w:proofErr w:type="spellEnd"/>
      <w:r w:rsidRPr="00C44189">
        <w:rPr>
          <w:rFonts w:cs="Arial"/>
          <w:i/>
          <w:szCs w:val="16"/>
        </w:rPr>
        <w:t xml:space="preserve"> CXVII. </w:t>
      </w:r>
      <w:proofErr w:type="spellStart"/>
      <w:r w:rsidRPr="00C44189">
        <w:rPr>
          <w:rFonts w:cs="Arial"/>
          <w:i/>
          <w:szCs w:val="16"/>
        </w:rPr>
        <w:t>törvény</w:t>
      </w:r>
      <w:proofErr w:type="spellEnd"/>
      <w:r w:rsidRPr="00C44189">
        <w:rPr>
          <w:rFonts w:cs="Arial"/>
          <w:i/>
          <w:szCs w:val="16"/>
        </w:rPr>
        <w:t xml:space="preserve"> </w:t>
      </w:r>
      <w:proofErr w:type="spellStart"/>
      <w:r w:rsidRPr="00C44189">
        <w:rPr>
          <w:rFonts w:cs="Arial"/>
          <w:i/>
          <w:szCs w:val="16"/>
        </w:rPr>
        <w:t>egyes</w:t>
      </w:r>
      <w:proofErr w:type="spellEnd"/>
      <w:r w:rsidRPr="00C44189">
        <w:rPr>
          <w:rFonts w:cs="Arial"/>
          <w:i/>
          <w:szCs w:val="16"/>
        </w:rPr>
        <w:t xml:space="preserve"> </w:t>
      </w:r>
      <w:proofErr w:type="spellStart"/>
      <w:r w:rsidRPr="00C44189">
        <w:rPr>
          <w:rFonts w:cs="Arial"/>
          <w:i/>
          <w:szCs w:val="16"/>
        </w:rPr>
        <w:t>választási</w:t>
      </w:r>
      <w:proofErr w:type="spellEnd"/>
      <w:r w:rsidRPr="00C44189">
        <w:rPr>
          <w:rFonts w:cs="Arial"/>
          <w:i/>
          <w:szCs w:val="16"/>
        </w:rPr>
        <w:t xml:space="preserve"> </w:t>
      </w:r>
      <w:proofErr w:type="spellStart"/>
      <w:r w:rsidRPr="00C44189">
        <w:rPr>
          <w:rFonts w:cs="Arial"/>
          <w:i/>
          <w:szCs w:val="16"/>
        </w:rPr>
        <w:t>tárgyú</w:t>
      </w:r>
      <w:proofErr w:type="spellEnd"/>
      <w:r w:rsidRPr="00C44189">
        <w:rPr>
          <w:rFonts w:cs="Arial"/>
          <w:i/>
          <w:szCs w:val="16"/>
        </w:rPr>
        <w:t xml:space="preserve"> </w:t>
      </w:r>
      <w:proofErr w:type="spellStart"/>
      <w:r w:rsidRPr="00C44189">
        <w:rPr>
          <w:rFonts w:cs="Arial"/>
          <w:i/>
          <w:szCs w:val="16"/>
        </w:rPr>
        <w:t>törvények</w:t>
      </w:r>
      <w:proofErr w:type="spellEnd"/>
      <w:r w:rsidRPr="00C44189">
        <w:rPr>
          <w:rFonts w:cs="Arial"/>
          <w:i/>
          <w:szCs w:val="16"/>
        </w:rPr>
        <w:t xml:space="preserve"> </w:t>
      </w:r>
      <w:proofErr w:type="spellStart"/>
      <w:r w:rsidRPr="00C44189">
        <w:rPr>
          <w:rFonts w:cs="Arial"/>
          <w:i/>
          <w:szCs w:val="16"/>
        </w:rPr>
        <w:t>módosításáról</w:t>
      </w:r>
      <w:proofErr w:type="spellEnd"/>
      <w:r w:rsidRPr="00C44189">
        <w:rPr>
          <w:rFonts w:cs="Arial"/>
          <w:szCs w:val="16"/>
        </w:rPr>
        <w:t>).</w:t>
      </w:r>
    </w:p>
  </w:footnote>
  <w:footnote w:id="121">
    <w:p w14:paraId="49AADD94" w14:textId="6BBBC223" w:rsidR="009647E8" w:rsidRPr="0055056D" w:rsidRDefault="009647E8"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DW, </w:t>
      </w:r>
      <w:r w:rsidR="00A21D6F" w:rsidRPr="00C44189">
        <w:rPr>
          <w:rFonts w:cs="Arial"/>
          <w:szCs w:val="16"/>
        </w:rPr>
        <w:t xml:space="preserve">Hungary has passed new anti-LGBTQ+ legislation, 15 June 2021, available at: </w:t>
      </w:r>
      <w:hyperlink r:id="rId45" w:history="1">
        <w:r w:rsidR="00A21D6F" w:rsidRPr="00C44189">
          <w:rPr>
            <w:rStyle w:val="Collegamentoipertestuale"/>
            <w:rFonts w:cs="Arial"/>
            <w:szCs w:val="16"/>
          </w:rPr>
          <w:t>https://www.dw.com/en/hungary-approves-law-banning-lgbtq-content-for-minors/a-57909844</w:t>
        </w:r>
      </w:hyperlink>
      <w:r w:rsidR="00A21D6F" w:rsidRPr="00C44189">
        <w:rPr>
          <w:rFonts w:cs="Arial"/>
          <w:szCs w:val="16"/>
        </w:rPr>
        <w:t xml:space="preserve"> </w:t>
      </w:r>
    </w:p>
  </w:footnote>
  <w:footnote w:id="122">
    <w:p w14:paraId="5A3381C4" w14:textId="3C057608" w:rsidR="00255EC9" w:rsidRPr="00C44189" w:rsidRDefault="00255EC9"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ILGA Europe, ANTI-LGBT HUNGARIAN REFERENDUM IS IN BAD FAITH, SAYS ILGA-EUROPE</w:t>
      </w:r>
      <w:r w:rsidR="00782BFF" w:rsidRPr="00C44189">
        <w:rPr>
          <w:rFonts w:cs="Arial"/>
          <w:szCs w:val="16"/>
        </w:rPr>
        <w:t xml:space="preserve">, 1 April 2022, available at: </w:t>
      </w:r>
      <w:hyperlink r:id="rId46" w:history="1">
        <w:r w:rsidR="00782BFF" w:rsidRPr="00C44189">
          <w:rPr>
            <w:rStyle w:val="Collegamentoipertestuale"/>
            <w:rFonts w:cs="Arial"/>
            <w:szCs w:val="16"/>
          </w:rPr>
          <w:t>https://ilga-europe.org/news/referendum-hungary-3-april-2022/</w:t>
        </w:r>
      </w:hyperlink>
      <w:r w:rsidR="00782BFF" w:rsidRPr="00C44189">
        <w:rPr>
          <w:rFonts w:cs="Arial"/>
          <w:szCs w:val="16"/>
        </w:rPr>
        <w:t xml:space="preserve"> </w:t>
      </w:r>
    </w:p>
  </w:footnote>
  <w:footnote w:id="123">
    <w:p w14:paraId="1DFBC3B3" w14:textId="2A2DA4BC" w:rsidR="003850A1" w:rsidRPr="00C44189" w:rsidRDefault="003850A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The questions </w:t>
      </w:r>
      <w:r w:rsidR="00600DA5" w:rsidRPr="00C44189">
        <w:rPr>
          <w:rFonts w:cs="Arial"/>
          <w:szCs w:val="16"/>
        </w:rPr>
        <w:t xml:space="preserve">in loan translation </w:t>
      </w:r>
      <w:r w:rsidRPr="00C44189">
        <w:rPr>
          <w:rFonts w:cs="Arial"/>
          <w:szCs w:val="16"/>
        </w:rPr>
        <w:t>were the following:</w:t>
      </w:r>
    </w:p>
    <w:p w14:paraId="5E8F6871" w14:textId="7A75CD7E" w:rsidR="003850A1" w:rsidRPr="00C44189" w:rsidRDefault="004B657B" w:rsidP="00AA1605">
      <w:pPr>
        <w:pStyle w:val="Testonotaapidipagina"/>
        <w:jc w:val="both"/>
        <w:rPr>
          <w:rFonts w:cs="Arial"/>
          <w:szCs w:val="16"/>
        </w:rPr>
      </w:pPr>
      <w:r w:rsidRPr="00C44189">
        <w:rPr>
          <w:rFonts w:cs="Arial"/>
          <w:szCs w:val="16"/>
        </w:rPr>
        <w:t>“</w:t>
      </w:r>
      <w:r w:rsidR="003850A1" w:rsidRPr="00C44189">
        <w:rPr>
          <w:rFonts w:cs="Arial"/>
          <w:szCs w:val="16"/>
        </w:rPr>
        <w:t xml:space="preserve">(1) Do you support that education presenting sexual orientations be available to minors in public education institutions without the consent of the parents? </w:t>
      </w:r>
    </w:p>
    <w:p w14:paraId="3EA69CA7" w14:textId="77777777" w:rsidR="003850A1" w:rsidRPr="00C44189" w:rsidRDefault="003850A1" w:rsidP="00AA1605">
      <w:pPr>
        <w:pStyle w:val="Testonotaapidipagina"/>
        <w:jc w:val="both"/>
        <w:rPr>
          <w:rFonts w:cs="Arial"/>
          <w:szCs w:val="16"/>
        </w:rPr>
      </w:pPr>
      <w:r w:rsidRPr="00C44189">
        <w:rPr>
          <w:rFonts w:cs="Arial"/>
          <w:szCs w:val="16"/>
        </w:rPr>
        <w:t xml:space="preserve">(2) Do you support that sex change treatments be propagated to minors? </w:t>
      </w:r>
    </w:p>
    <w:p w14:paraId="18D49833" w14:textId="77777777" w:rsidR="003850A1" w:rsidRPr="00C44189" w:rsidRDefault="003850A1" w:rsidP="00AA1605">
      <w:pPr>
        <w:pStyle w:val="Testonotaapidipagina"/>
        <w:jc w:val="both"/>
        <w:rPr>
          <w:rFonts w:cs="Arial"/>
          <w:szCs w:val="16"/>
        </w:rPr>
      </w:pPr>
      <w:r w:rsidRPr="00C44189">
        <w:rPr>
          <w:rFonts w:cs="Arial"/>
          <w:szCs w:val="16"/>
        </w:rPr>
        <w:t xml:space="preserve">(3) Do you support that sex change treatments be available also to minors? </w:t>
      </w:r>
    </w:p>
    <w:p w14:paraId="2EDF94BA" w14:textId="77777777" w:rsidR="003850A1" w:rsidRPr="00C44189" w:rsidRDefault="003850A1" w:rsidP="00AA1605">
      <w:pPr>
        <w:pStyle w:val="Testonotaapidipagina"/>
        <w:jc w:val="both"/>
        <w:rPr>
          <w:rFonts w:cs="Arial"/>
          <w:szCs w:val="16"/>
        </w:rPr>
      </w:pPr>
      <w:r w:rsidRPr="00C44189">
        <w:rPr>
          <w:rFonts w:cs="Arial"/>
          <w:szCs w:val="16"/>
        </w:rPr>
        <w:t xml:space="preserve">(4) Do you support the presentation of sexual media content to minors that influences their development without restrictions? </w:t>
      </w:r>
    </w:p>
    <w:p w14:paraId="52595FE3" w14:textId="320D9E9E" w:rsidR="003850A1" w:rsidRPr="00C44189" w:rsidRDefault="003850A1" w:rsidP="00AA1605">
      <w:pPr>
        <w:pStyle w:val="Testonotaapidipagina"/>
        <w:jc w:val="both"/>
        <w:rPr>
          <w:rFonts w:cs="Arial"/>
          <w:szCs w:val="16"/>
        </w:rPr>
      </w:pPr>
      <w:r w:rsidRPr="00C44189">
        <w:rPr>
          <w:rFonts w:cs="Arial"/>
          <w:szCs w:val="16"/>
        </w:rPr>
        <w:t>(5) Do you support the presentation of media content to minors that display sex change?</w:t>
      </w:r>
      <w:r w:rsidR="004B657B" w:rsidRPr="00C44189">
        <w:rPr>
          <w:rFonts w:cs="Arial"/>
          <w:szCs w:val="16"/>
        </w:rPr>
        <w:t>”</w:t>
      </w:r>
    </w:p>
    <w:p w14:paraId="49C069C5" w14:textId="1CBF334F" w:rsidR="003850A1" w:rsidRPr="00C44189" w:rsidRDefault="003850A1" w:rsidP="00AA1605">
      <w:pPr>
        <w:pStyle w:val="Testonotaapidipagina"/>
        <w:jc w:val="both"/>
        <w:rPr>
          <w:rFonts w:cs="Arial"/>
          <w:szCs w:val="16"/>
        </w:rPr>
      </w:pPr>
      <w:r w:rsidRPr="00C44189">
        <w:rPr>
          <w:rFonts w:cs="Arial"/>
          <w:szCs w:val="16"/>
        </w:rPr>
        <w:t xml:space="preserve">See: </w:t>
      </w:r>
      <w:proofErr w:type="spellStart"/>
      <w:r w:rsidRPr="00C44189">
        <w:rPr>
          <w:rFonts w:cs="Arial"/>
          <w:szCs w:val="16"/>
        </w:rPr>
        <w:t>Zsolt</w:t>
      </w:r>
      <w:proofErr w:type="spellEnd"/>
      <w:r w:rsidRPr="00C44189">
        <w:rPr>
          <w:rFonts w:cs="Arial"/>
          <w:szCs w:val="16"/>
        </w:rPr>
        <w:t xml:space="preserve"> </w:t>
      </w:r>
      <w:proofErr w:type="spellStart"/>
      <w:r w:rsidRPr="00C44189">
        <w:rPr>
          <w:rFonts w:cs="Arial"/>
          <w:szCs w:val="16"/>
        </w:rPr>
        <w:t>Körtvélyesi</w:t>
      </w:r>
      <w:proofErr w:type="spellEnd"/>
      <w:r w:rsidRPr="00C44189">
        <w:rPr>
          <w:rFonts w:cs="Arial"/>
          <w:szCs w:val="16"/>
        </w:rPr>
        <w:t xml:space="preserve">, </w:t>
      </w:r>
      <w:proofErr w:type="spellStart"/>
      <w:r w:rsidRPr="00C44189">
        <w:rPr>
          <w:rFonts w:cs="Arial"/>
          <w:szCs w:val="16"/>
        </w:rPr>
        <w:t>Orsolya</w:t>
      </w:r>
      <w:proofErr w:type="spellEnd"/>
      <w:r w:rsidRPr="00C44189">
        <w:rPr>
          <w:rFonts w:cs="Arial"/>
          <w:szCs w:val="16"/>
        </w:rPr>
        <w:t xml:space="preserve"> </w:t>
      </w:r>
      <w:proofErr w:type="spellStart"/>
      <w:r w:rsidRPr="00C44189">
        <w:rPr>
          <w:rFonts w:cs="Arial"/>
          <w:szCs w:val="16"/>
        </w:rPr>
        <w:t>Salát</w:t>
      </w:r>
      <w:proofErr w:type="spellEnd"/>
      <w:r w:rsidRPr="00C44189">
        <w:rPr>
          <w:rFonts w:cs="Arial"/>
          <w:szCs w:val="16"/>
        </w:rPr>
        <w:t xml:space="preserve">, </w:t>
      </w:r>
      <w:proofErr w:type="spellStart"/>
      <w:r w:rsidRPr="00C44189">
        <w:rPr>
          <w:rFonts w:cs="Arial"/>
          <w:szCs w:val="16"/>
        </w:rPr>
        <w:t>Júlia</w:t>
      </w:r>
      <w:proofErr w:type="spellEnd"/>
      <w:r w:rsidRPr="00C44189">
        <w:rPr>
          <w:rFonts w:cs="Arial"/>
          <w:szCs w:val="16"/>
        </w:rPr>
        <w:t xml:space="preserve"> Mink, </w:t>
      </w:r>
      <w:proofErr w:type="spellStart"/>
      <w:r w:rsidRPr="00C44189">
        <w:rPr>
          <w:rFonts w:cs="Arial"/>
          <w:szCs w:val="16"/>
        </w:rPr>
        <w:t>Tamás</w:t>
      </w:r>
      <w:proofErr w:type="spellEnd"/>
      <w:r w:rsidRPr="00C44189">
        <w:rPr>
          <w:rFonts w:cs="Arial"/>
          <w:szCs w:val="16"/>
        </w:rPr>
        <w:t xml:space="preserve"> </w:t>
      </w:r>
      <w:proofErr w:type="spellStart"/>
      <w:r w:rsidRPr="00C44189">
        <w:rPr>
          <w:rFonts w:cs="Arial"/>
          <w:szCs w:val="16"/>
        </w:rPr>
        <w:t>Fézer</w:t>
      </w:r>
      <w:proofErr w:type="spellEnd"/>
      <w:r w:rsidRPr="00C44189">
        <w:rPr>
          <w:rFonts w:cs="Arial"/>
          <w:szCs w:val="16"/>
        </w:rPr>
        <w:t xml:space="preserve">, </w:t>
      </w:r>
      <w:proofErr w:type="spellStart"/>
      <w:r w:rsidRPr="00C44189">
        <w:rPr>
          <w:rFonts w:cs="Arial"/>
          <w:szCs w:val="16"/>
        </w:rPr>
        <w:t>Balázs</w:t>
      </w:r>
      <w:proofErr w:type="spellEnd"/>
      <w:r w:rsidRPr="00C44189">
        <w:rPr>
          <w:rFonts w:cs="Arial"/>
          <w:szCs w:val="16"/>
        </w:rPr>
        <w:t xml:space="preserve"> </w:t>
      </w:r>
      <w:proofErr w:type="spellStart"/>
      <w:r w:rsidRPr="00C44189">
        <w:rPr>
          <w:rFonts w:cs="Arial"/>
          <w:szCs w:val="16"/>
        </w:rPr>
        <w:t>Majtényi</w:t>
      </w:r>
      <w:proofErr w:type="spellEnd"/>
      <w:r w:rsidRPr="00C44189">
        <w:rPr>
          <w:rFonts w:cs="Arial"/>
          <w:szCs w:val="16"/>
        </w:rPr>
        <w:t xml:space="preserve"> (2022), </w:t>
      </w:r>
      <w:proofErr w:type="spellStart"/>
      <w:r w:rsidR="00830449" w:rsidRPr="0055056D">
        <w:rPr>
          <w:rFonts w:cs="Arial"/>
          <w:szCs w:val="16"/>
        </w:rPr>
        <w:t>Franet</w:t>
      </w:r>
      <w:proofErr w:type="spellEnd"/>
      <w:r w:rsidR="00830449" w:rsidRPr="0055056D">
        <w:rPr>
          <w:rFonts w:cs="Arial"/>
          <w:szCs w:val="16"/>
        </w:rPr>
        <w:t xml:space="preserve"> National contribution to the Fundamental Rights Report 2022 Hungary</w:t>
      </w:r>
      <w:r w:rsidRPr="00C44189">
        <w:rPr>
          <w:rFonts w:cs="Arial"/>
          <w:szCs w:val="16"/>
        </w:rPr>
        <w:t>, Milieu Consulting SRL, p.13</w:t>
      </w:r>
      <w:r w:rsidR="00830449" w:rsidRPr="00C44189">
        <w:rPr>
          <w:rFonts w:cs="Arial"/>
          <w:szCs w:val="16"/>
        </w:rPr>
        <w:t xml:space="preserve">, available at </w:t>
      </w:r>
      <w:r w:rsidR="00AD6CF1" w:rsidRPr="00C44189">
        <w:rPr>
          <w:rFonts w:cs="Arial"/>
          <w:szCs w:val="16"/>
        </w:rPr>
        <w:t>h</w:t>
      </w:r>
      <w:r w:rsidR="00830449" w:rsidRPr="00C44189">
        <w:rPr>
          <w:rFonts w:cs="Arial"/>
          <w:szCs w:val="16"/>
        </w:rPr>
        <w:t>ttp://fra.europa.eu/sites/default/files/fra_uploads/fundamental_rights_report_2022-_hungary_.pdf</w:t>
      </w:r>
      <w:r w:rsidRPr="00C44189">
        <w:rPr>
          <w:rFonts w:cs="Arial"/>
          <w:szCs w:val="16"/>
        </w:rPr>
        <w:t xml:space="preserve">. </w:t>
      </w:r>
    </w:p>
  </w:footnote>
  <w:footnote w:id="124">
    <w:p w14:paraId="75A69064" w14:textId="6E201A63" w:rsidR="003850A1" w:rsidRPr="00C44189" w:rsidRDefault="003850A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Hungarian Civil Liberties Union (2021), ‘HCL filed a lawsuit against the unlawful </w:t>
      </w:r>
      <w:proofErr w:type="spellStart"/>
      <w:r w:rsidRPr="00C44189">
        <w:rPr>
          <w:rFonts w:cs="Arial"/>
          <w:szCs w:val="16"/>
        </w:rPr>
        <w:t>referndum</w:t>
      </w:r>
      <w:proofErr w:type="spellEnd"/>
      <w:r w:rsidRPr="00C44189">
        <w:rPr>
          <w:rFonts w:cs="Arial"/>
          <w:szCs w:val="16"/>
        </w:rPr>
        <w:t xml:space="preserve"> questions of the Government’ (</w:t>
      </w:r>
      <w:r w:rsidR="00AD6CF1" w:rsidRPr="0055056D">
        <w:rPr>
          <w:rFonts w:cs="Arial"/>
          <w:szCs w:val="16"/>
        </w:rPr>
        <w:t xml:space="preserve">A </w:t>
      </w:r>
      <w:proofErr w:type="spellStart"/>
      <w:r w:rsidR="00AD6CF1" w:rsidRPr="0055056D">
        <w:rPr>
          <w:rFonts w:cs="Arial"/>
          <w:szCs w:val="16"/>
        </w:rPr>
        <w:t>kormány</w:t>
      </w:r>
      <w:proofErr w:type="spellEnd"/>
      <w:r w:rsidR="00AD6CF1" w:rsidRPr="0055056D">
        <w:rPr>
          <w:rFonts w:cs="Arial"/>
          <w:szCs w:val="16"/>
        </w:rPr>
        <w:t xml:space="preserve"> </w:t>
      </w:r>
      <w:proofErr w:type="spellStart"/>
      <w:r w:rsidR="00AD6CF1" w:rsidRPr="0055056D">
        <w:rPr>
          <w:rFonts w:cs="Arial"/>
          <w:szCs w:val="16"/>
        </w:rPr>
        <w:t>jogsértő</w:t>
      </w:r>
      <w:proofErr w:type="spellEnd"/>
      <w:r w:rsidR="00AD6CF1" w:rsidRPr="0055056D">
        <w:rPr>
          <w:rFonts w:cs="Arial"/>
          <w:szCs w:val="16"/>
        </w:rPr>
        <w:t xml:space="preserve"> </w:t>
      </w:r>
      <w:proofErr w:type="spellStart"/>
      <w:r w:rsidR="00AD6CF1" w:rsidRPr="0055056D">
        <w:rPr>
          <w:rFonts w:cs="Arial"/>
          <w:szCs w:val="16"/>
        </w:rPr>
        <w:t>népszavazási</w:t>
      </w:r>
      <w:proofErr w:type="spellEnd"/>
      <w:r w:rsidR="00AD6CF1" w:rsidRPr="0055056D">
        <w:rPr>
          <w:rFonts w:cs="Arial"/>
          <w:szCs w:val="16"/>
        </w:rPr>
        <w:t xml:space="preserve"> </w:t>
      </w:r>
      <w:proofErr w:type="spellStart"/>
      <w:r w:rsidR="00AD6CF1" w:rsidRPr="0055056D">
        <w:rPr>
          <w:rFonts w:cs="Arial"/>
          <w:szCs w:val="16"/>
        </w:rPr>
        <w:t>kérdései</w:t>
      </w:r>
      <w:proofErr w:type="spellEnd"/>
      <w:r w:rsidR="00AD6CF1" w:rsidRPr="0055056D">
        <w:rPr>
          <w:rFonts w:cs="Arial"/>
          <w:szCs w:val="16"/>
        </w:rPr>
        <w:t xml:space="preserve"> </w:t>
      </w:r>
      <w:proofErr w:type="spellStart"/>
      <w:r w:rsidR="00AD6CF1" w:rsidRPr="0055056D">
        <w:rPr>
          <w:rFonts w:cs="Arial"/>
          <w:szCs w:val="16"/>
        </w:rPr>
        <w:t>miatt</w:t>
      </w:r>
      <w:proofErr w:type="spellEnd"/>
      <w:r w:rsidR="00AD6CF1" w:rsidRPr="0055056D">
        <w:rPr>
          <w:rFonts w:cs="Arial"/>
          <w:szCs w:val="16"/>
        </w:rPr>
        <w:t xml:space="preserve"> </w:t>
      </w:r>
      <w:proofErr w:type="spellStart"/>
      <w:r w:rsidR="00AD6CF1" w:rsidRPr="0055056D">
        <w:rPr>
          <w:rFonts w:cs="Arial"/>
          <w:szCs w:val="16"/>
        </w:rPr>
        <w:t>bírósághoz</w:t>
      </w:r>
      <w:proofErr w:type="spellEnd"/>
      <w:r w:rsidR="00AD6CF1" w:rsidRPr="0055056D">
        <w:rPr>
          <w:rFonts w:cs="Arial"/>
          <w:szCs w:val="16"/>
        </w:rPr>
        <w:t xml:space="preserve"> </w:t>
      </w:r>
      <w:proofErr w:type="spellStart"/>
      <w:r w:rsidR="00AD6CF1" w:rsidRPr="0055056D">
        <w:rPr>
          <w:rFonts w:cs="Arial"/>
          <w:szCs w:val="16"/>
        </w:rPr>
        <w:t>fordult</w:t>
      </w:r>
      <w:proofErr w:type="spellEnd"/>
      <w:r w:rsidR="00AD6CF1" w:rsidRPr="0055056D">
        <w:rPr>
          <w:rFonts w:cs="Arial"/>
          <w:szCs w:val="16"/>
        </w:rPr>
        <w:t xml:space="preserve"> a TASZ</w:t>
      </w:r>
      <w:r w:rsidRPr="00C44189">
        <w:rPr>
          <w:rFonts w:cs="Arial"/>
          <w:szCs w:val="16"/>
        </w:rPr>
        <w:t>), 16 August 2021</w:t>
      </w:r>
      <w:r w:rsidR="00AD6CF1" w:rsidRPr="00C44189">
        <w:rPr>
          <w:rFonts w:cs="Arial"/>
          <w:szCs w:val="16"/>
        </w:rPr>
        <w:t>, available at https://tasz.hu/cikkek/a-kormany-jogserto-nepszavazasi-kerdesei-miatt-birosaghoz-fordult-a-tasz</w:t>
      </w:r>
      <w:r w:rsidR="00B9195B" w:rsidRPr="00C44189">
        <w:rPr>
          <w:rFonts w:cs="Arial"/>
          <w:szCs w:val="16"/>
        </w:rPr>
        <w:t>.</w:t>
      </w:r>
    </w:p>
  </w:footnote>
  <w:footnote w:id="125">
    <w:p w14:paraId="11FE46C4" w14:textId="77777777" w:rsidR="003850A1" w:rsidRPr="00C44189" w:rsidRDefault="003850A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Question no. 3: Do you support that sex change treatments be available also to minors?</w:t>
      </w:r>
    </w:p>
  </w:footnote>
  <w:footnote w:id="126">
    <w:p w14:paraId="62ED792F" w14:textId="60A14D1C" w:rsidR="003850A1" w:rsidRPr="00C44189" w:rsidRDefault="003850A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Curia, </w:t>
      </w:r>
      <w:r w:rsidR="00AD6CF1" w:rsidRPr="0055056D">
        <w:rPr>
          <w:rFonts w:cs="Arial"/>
          <w:szCs w:val="16"/>
        </w:rPr>
        <w:t>Decision No. Knk.II.40.646/2021/9</w:t>
      </w:r>
      <w:r w:rsidRPr="00C44189">
        <w:rPr>
          <w:rFonts w:cs="Arial"/>
          <w:szCs w:val="16"/>
        </w:rPr>
        <w:t>, 22 October 2021</w:t>
      </w:r>
      <w:r w:rsidR="00AD6CF1" w:rsidRPr="00C44189">
        <w:rPr>
          <w:rFonts w:cs="Arial"/>
          <w:szCs w:val="16"/>
        </w:rPr>
        <w:t>, available at https://kuria-birosag.hu/hu/nepszavugy/knkii4064620219-szamu-hatarozat</w:t>
      </w:r>
      <w:r w:rsidRPr="00C44189">
        <w:rPr>
          <w:rFonts w:cs="Arial"/>
          <w:szCs w:val="16"/>
        </w:rPr>
        <w:t>.</w:t>
      </w:r>
    </w:p>
  </w:footnote>
  <w:footnote w:id="127">
    <w:p w14:paraId="4B4EF1D1" w14:textId="271822D6" w:rsidR="003850A1" w:rsidRPr="00C44189" w:rsidRDefault="003850A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Kisalfold.hu (2021), ‘There will be a parliamentary election and a child protection referendum at the same time’ (</w:t>
      </w:r>
      <w:proofErr w:type="spellStart"/>
      <w:r w:rsidR="00B4233C" w:rsidRPr="0055056D">
        <w:rPr>
          <w:rFonts w:cs="Arial"/>
          <w:szCs w:val="16"/>
        </w:rPr>
        <w:t>Egyszerre</w:t>
      </w:r>
      <w:proofErr w:type="spellEnd"/>
      <w:r w:rsidR="00B4233C" w:rsidRPr="0055056D">
        <w:rPr>
          <w:rFonts w:cs="Arial"/>
          <w:szCs w:val="16"/>
        </w:rPr>
        <w:t xml:space="preserve"> </w:t>
      </w:r>
      <w:proofErr w:type="spellStart"/>
      <w:r w:rsidR="00B4233C" w:rsidRPr="0055056D">
        <w:rPr>
          <w:rFonts w:cs="Arial"/>
          <w:szCs w:val="16"/>
        </w:rPr>
        <w:t>lesz</w:t>
      </w:r>
      <w:proofErr w:type="spellEnd"/>
      <w:r w:rsidR="00B4233C" w:rsidRPr="0055056D">
        <w:rPr>
          <w:rFonts w:cs="Arial"/>
          <w:szCs w:val="16"/>
        </w:rPr>
        <w:t xml:space="preserve"> a </w:t>
      </w:r>
      <w:proofErr w:type="spellStart"/>
      <w:r w:rsidR="00B4233C" w:rsidRPr="0055056D">
        <w:rPr>
          <w:rFonts w:cs="Arial"/>
          <w:szCs w:val="16"/>
        </w:rPr>
        <w:t>parlamenti</w:t>
      </w:r>
      <w:proofErr w:type="spellEnd"/>
      <w:r w:rsidR="00B4233C" w:rsidRPr="0055056D">
        <w:rPr>
          <w:rFonts w:cs="Arial"/>
          <w:szCs w:val="16"/>
        </w:rPr>
        <w:t xml:space="preserve"> </w:t>
      </w:r>
      <w:proofErr w:type="spellStart"/>
      <w:r w:rsidR="00B4233C" w:rsidRPr="0055056D">
        <w:rPr>
          <w:rFonts w:cs="Arial"/>
          <w:szCs w:val="16"/>
        </w:rPr>
        <w:t>választás</w:t>
      </w:r>
      <w:proofErr w:type="spellEnd"/>
      <w:r w:rsidR="00B4233C" w:rsidRPr="0055056D">
        <w:rPr>
          <w:rFonts w:cs="Arial"/>
          <w:szCs w:val="16"/>
        </w:rPr>
        <w:t xml:space="preserve"> </w:t>
      </w:r>
      <w:proofErr w:type="spellStart"/>
      <w:r w:rsidR="00B4233C" w:rsidRPr="0055056D">
        <w:rPr>
          <w:rFonts w:cs="Arial"/>
          <w:szCs w:val="16"/>
        </w:rPr>
        <w:t>és</w:t>
      </w:r>
      <w:proofErr w:type="spellEnd"/>
      <w:r w:rsidR="00B4233C" w:rsidRPr="0055056D">
        <w:rPr>
          <w:rFonts w:cs="Arial"/>
          <w:szCs w:val="16"/>
        </w:rPr>
        <w:t xml:space="preserve"> a </w:t>
      </w:r>
      <w:proofErr w:type="spellStart"/>
      <w:r w:rsidR="00B4233C" w:rsidRPr="0055056D">
        <w:rPr>
          <w:rFonts w:cs="Arial"/>
          <w:szCs w:val="16"/>
        </w:rPr>
        <w:t>gyermekvédelmi</w:t>
      </w:r>
      <w:proofErr w:type="spellEnd"/>
      <w:r w:rsidR="00B4233C" w:rsidRPr="0055056D">
        <w:rPr>
          <w:rFonts w:cs="Arial"/>
          <w:szCs w:val="16"/>
        </w:rPr>
        <w:t xml:space="preserve"> </w:t>
      </w:r>
      <w:proofErr w:type="spellStart"/>
      <w:r w:rsidR="00B4233C" w:rsidRPr="0055056D">
        <w:rPr>
          <w:rFonts w:cs="Arial"/>
          <w:szCs w:val="16"/>
        </w:rPr>
        <w:t>népszavazás</w:t>
      </w:r>
      <w:proofErr w:type="spellEnd"/>
      <w:r w:rsidRPr="00C44189">
        <w:rPr>
          <w:rFonts w:cs="Arial"/>
          <w:szCs w:val="16"/>
        </w:rPr>
        <w:t>)</w:t>
      </w:r>
      <w:r w:rsidR="00B4233C" w:rsidRPr="00C44189">
        <w:rPr>
          <w:rFonts w:cs="Arial"/>
          <w:szCs w:val="16"/>
        </w:rPr>
        <w:t>, available at</w:t>
      </w:r>
      <w:r w:rsidR="00F14CEF" w:rsidRPr="00C44189">
        <w:rPr>
          <w:rFonts w:cs="Arial"/>
          <w:szCs w:val="16"/>
        </w:rPr>
        <w:t xml:space="preserve"> </w:t>
      </w:r>
      <w:r w:rsidR="00B4233C" w:rsidRPr="00C44189">
        <w:rPr>
          <w:rFonts w:cs="Arial"/>
          <w:szCs w:val="16"/>
        </w:rPr>
        <w:t xml:space="preserve">https://www.kisalfold.hu/orszag-vilag/egyszerre-lesz-a-parlamenti-valasztas-es-a-gyermekvedelmi-nepszavazas-11579954/ </w:t>
      </w:r>
      <w:r w:rsidRPr="00C44189">
        <w:rPr>
          <w:rFonts w:cs="Arial"/>
          <w:szCs w:val="16"/>
        </w:rPr>
        <w:t>.</w:t>
      </w:r>
    </w:p>
  </w:footnote>
  <w:footnote w:id="128">
    <w:p w14:paraId="2E9FAE6D" w14:textId="77777777" w:rsidR="003850A1" w:rsidRPr="00C44189" w:rsidRDefault="003850A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Constitutional Court, </w:t>
      </w:r>
      <w:hyperlink r:id="rId47" w:history="1">
        <w:r w:rsidRPr="00C44189">
          <w:rPr>
            <w:rStyle w:val="Collegamentoipertestuale"/>
            <w:rFonts w:cs="Arial"/>
            <w:szCs w:val="16"/>
          </w:rPr>
          <w:t>Case no. IV/03991/2021</w:t>
        </w:r>
      </w:hyperlink>
      <w:r w:rsidRPr="00C44189">
        <w:rPr>
          <w:rFonts w:cs="Arial"/>
          <w:szCs w:val="16"/>
        </w:rPr>
        <w:t xml:space="preserve">. </w:t>
      </w:r>
    </w:p>
  </w:footnote>
  <w:footnote w:id="129">
    <w:p w14:paraId="3EF35AB9" w14:textId="77777777" w:rsidR="003850A1" w:rsidRPr="00C44189" w:rsidRDefault="003850A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Constitutional Court </w:t>
      </w:r>
      <w:hyperlink r:id="rId48" w:history="1">
        <w:r w:rsidRPr="00C44189">
          <w:rPr>
            <w:rStyle w:val="Collegamentoipertestuale"/>
            <w:rFonts w:cs="Arial"/>
            <w:szCs w:val="16"/>
          </w:rPr>
          <w:t>Decision no. 33/2021. (XII. 22.)</w:t>
        </w:r>
      </w:hyperlink>
      <w:r w:rsidRPr="00C44189">
        <w:rPr>
          <w:rStyle w:val="Collegamentoipertestuale"/>
          <w:rFonts w:cs="Arial"/>
          <w:szCs w:val="16"/>
        </w:rPr>
        <w:t xml:space="preserve">, </w:t>
      </w:r>
      <w:r w:rsidRPr="00C44189">
        <w:rPr>
          <w:rFonts w:cs="Arial"/>
          <w:szCs w:val="16"/>
        </w:rPr>
        <w:t>22 December 2021.</w:t>
      </w:r>
    </w:p>
  </w:footnote>
  <w:footnote w:id="130">
    <w:p w14:paraId="7DFFA977" w14:textId="7CD71909" w:rsidR="00785D80" w:rsidRPr="00C44189" w:rsidRDefault="00785D80"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BE4FAE" w:rsidRPr="00C44189">
        <w:rPr>
          <w:rFonts w:cs="Arial"/>
          <w:szCs w:val="16"/>
        </w:rPr>
        <w:t xml:space="preserve">444.hu, </w:t>
      </w:r>
      <w:r w:rsidR="004D23E2" w:rsidRPr="00C44189">
        <w:rPr>
          <w:rFonts w:cs="Arial"/>
          <w:szCs w:val="16"/>
        </w:rPr>
        <w:t>The homophobic referendum became invalid</w:t>
      </w:r>
      <w:r w:rsidR="00FE66B2" w:rsidRPr="00C44189">
        <w:rPr>
          <w:rFonts w:cs="Arial"/>
          <w:szCs w:val="16"/>
        </w:rPr>
        <w:t xml:space="preserve"> (</w:t>
      </w:r>
      <w:proofErr w:type="spellStart"/>
      <w:r w:rsidR="00FE66B2" w:rsidRPr="00C44189">
        <w:rPr>
          <w:rFonts w:cs="Arial"/>
          <w:szCs w:val="16"/>
        </w:rPr>
        <w:t>Érvénytelen</w:t>
      </w:r>
      <w:proofErr w:type="spellEnd"/>
      <w:r w:rsidR="00FE66B2" w:rsidRPr="00C44189">
        <w:rPr>
          <w:rFonts w:cs="Arial"/>
          <w:szCs w:val="16"/>
        </w:rPr>
        <w:t xml:space="preserve"> </w:t>
      </w:r>
      <w:proofErr w:type="spellStart"/>
      <w:r w:rsidR="00FE66B2" w:rsidRPr="00C44189">
        <w:rPr>
          <w:rFonts w:cs="Arial"/>
          <w:szCs w:val="16"/>
        </w:rPr>
        <w:t>lett</w:t>
      </w:r>
      <w:proofErr w:type="spellEnd"/>
      <w:r w:rsidR="00FE66B2" w:rsidRPr="00C44189">
        <w:rPr>
          <w:rFonts w:cs="Arial"/>
          <w:szCs w:val="16"/>
        </w:rPr>
        <w:t xml:space="preserve"> a </w:t>
      </w:r>
      <w:proofErr w:type="spellStart"/>
      <w:r w:rsidR="00FE66B2" w:rsidRPr="00C44189">
        <w:rPr>
          <w:rFonts w:cs="Arial"/>
          <w:szCs w:val="16"/>
        </w:rPr>
        <w:t>homofób</w:t>
      </w:r>
      <w:proofErr w:type="spellEnd"/>
      <w:r w:rsidR="00FE66B2" w:rsidRPr="00C44189">
        <w:rPr>
          <w:rFonts w:cs="Arial"/>
          <w:szCs w:val="16"/>
        </w:rPr>
        <w:t xml:space="preserve"> </w:t>
      </w:r>
      <w:proofErr w:type="spellStart"/>
      <w:r w:rsidR="00FE66B2" w:rsidRPr="00C44189">
        <w:rPr>
          <w:rFonts w:cs="Arial"/>
          <w:szCs w:val="16"/>
        </w:rPr>
        <w:t>népszavazás</w:t>
      </w:r>
      <w:proofErr w:type="spellEnd"/>
      <w:r w:rsidR="00FE66B2" w:rsidRPr="00C44189">
        <w:rPr>
          <w:rFonts w:cs="Arial"/>
          <w:szCs w:val="16"/>
        </w:rPr>
        <w:t xml:space="preserve">), </w:t>
      </w:r>
      <w:r w:rsidR="00300B14" w:rsidRPr="00C44189">
        <w:rPr>
          <w:rFonts w:cs="Arial"/>
          <w:szCs w:val="16"/>
        </w:rPr>
        <w:t xml:space="preserve">4 April 2022, available at: </w:t>
      </w:r>
      <w:hyperlink r:id="rId49" w:history="1">
        <w:r w:rsidR="003C42E9" w:rsidRPr="00C44189">
          <w:rPr>
            <w:rStyle w:val="Collegamentoipertestuale"/>
            <w:rFonts w:cs="Arial"/>
            <w:szCs w:val="16"/>
          </w:rPr>
          <w:t>https://444.hu/2022/04/04/ervenytelen-lett-a-homofob-nepszavazas</w:t>
        </w:r>
      </w:hyperlink>
      <w:r w:rsidR="003C42E9" w:rsidRPr="00C44189">
        <w:rPr>
          <w:rFonts w:cs="Arial"/>
          <w:szCs w:val="16"/>
        </w:rPr>
        <w:t xml:space="preserve"> </w:t>
      </w:r>
    </w:p>
  </w:footnote>
  <w:footnote w:id="131">
    <w:p w14:paraId="5B47E556" w14:textId="63FD224A" w:rsidR="00986890" w:rsidRPr="00C44189" w:rsidRDefault="00986890" w:rsidP="00AA1605">
      <w:pPr>
        <w:pStyle w:val="NormaleWeb"/>
        <w:spacing w:before="0" w:beforeAutospacing="0" w:after="0" w:afterAutospacing="0"/>
        <w:ind w:left="284" w:hanging="284"/>
        <w:jc w:val="both"/>
        <w:rPr>
          <w:sz w:val="16"/>
          <w:szCs w:val="16"/>
          <w:lang w:val="hu-HU"/>
        </w:rPr>
      </w:pPr>
      <w:r w:rsidRPr="00C44189">
        <w:rPr>
          <w:rStyle w:val="Rimandonotaapidipagina"/>
          <w:rFonts w:ascii="Arial" w:hAnsi="Arial"/>
          <w:szCs w:val="16"/>
        </w:rPr>
        <w:footnoteRef/>
      </w:r>
      <w:r w:rsidRPr="00C44189">
        <w:rPr>
          <w:sz w:val="16"/>
          <w:szCs w:val="16"/>
          <w:lang w:val="hu-HU"/>
        </w:rPr>
        <w:t xml:space="preserve"> </w:t>
      </w:r>
      <w:r w:rsidRPr="00C44189">
        <w:rPr>
          <w:color w:val="auto"/>
          <w:sz w:val="16"/>
          <w:szCs w:val="16"/>
          <w:lang w:val="hu-HU"/>
        </w:rPr>
        <w:t xml:space="preserve">Szabad Európa (2022), ’Court finds Figyelő’s listing unlawful and intimidating </w:t>
      </w:r>
      <w:r w:rsidRPr="00C44189">
        <w:rPr>
          <w:color w:val="595959"/>
          <w:sz w:val="16"/>
          <w:szCs w:val="16"/>
          <w:lang w:val="hu-HU"/>
        </w:rPr>
        <w:t>(</w:t>
      </w:r>
      <w:proofErr w:type="spellStart"/>
      <w:r w:rsidR="00F14CEF" w:rsidRPr="0055056D">
        <w:t>Jogsértő</w:t>
      </w:r>
      <w:proofErr w:type="spellEnd"/>
      <w:r w:rsidR="00F14CEF" w:rsidRPr="0055056D">
        <w:t xml:space="preserve"> </w:t>
      </w:r>
      <w:proofErr w:type="spellStart"/>
      <w:r w:rsidR="00F14CEF" w:rsidRPr="0055056D">
        <w:t>és</w:t>
      </w:r>
      <w:proofErr w:type="spellEnd"/>
      <w:r w:rsidR="00F14CEF" w:rsidRPr="0055056D">
        <w:t xml:space="preserve"> </w:t>
      </w:r>
      <w:proofErr w:type="spellStart"/>
      <w:r w:rsidR="00F14CEF" w:rsidRPr="0055056D">
        <w:t>félelemkeltő</w:t>
      </w:r>
      <w:proofErr w:type="spellEnd"/>
      <w:r w:rsidR="00F14CEF" w:rsidRPr="0055056D">
        <w:t xml:space="preserve"> volt a Figyelő listázása a bíróság szerint</w:t>
      </w:r>
      <w:r w:rsidRPr="00C44189">
        <w:rPr>
          <w:rStyle w:val="Collegamentoipertestuale"/>
          <w:sz w:val="16"/>
          <w:szCs w:val="16"/>
          <w:lang w:val="hu-HU"/>
        </w:rPr>
        <w:t>)</w:t>
      </w:r>
      <w:r w:rsidRPr="00C44189">
        <w:rPr>
          <w:color w:val="auto"/>
          <w:sz w:val="16"/>
          <w:szCs w:val="16"/>
          <w:lang w:val="hu-HU"/>
        </w:rPr>
        <w:t>, 28 September 2022</w:t>
      </w:r>
      <w:r w:rsidR="00F14CEF" w:rsidRPr="00C44189">
        <w:rPr>
          <w:color w:val="auto"/>
          <w:sz w:val="16"/>
          <w:szCs w:val="16"/>
          <w:lang w:val="hu-HU"/>
        </w:rPr>
        <w:t>, available at https://www.szabadeuropa.hu/a/figyelo-soros-lista-birosag-itelet/32056195.html</w:t>
      </w:r>
      <w:r w:rsidRPr="00C44189">
        <w:rPr>
          <w:color w:val="auto"/>
          <w:sz w:val="16"/>
          <w:szCs w:val="16"/>
          <w:lang w:val="hu-HU"/>
        </w:rPr>
        <w:t>.</w:t>
      </w:r>
    </w:p>
  </w:footnote>
  <w:footnote w:id="132">
    <w:p w14:paraId="7036042F" w14:textId="011953B8" w:rsidR="00986890" w:rsidRPr="00C44189" w:rsidRDefault="00986890" w:rsidP="00AA1605">
      <w:pPr>
        <w:pStyle w:val="Testonotaapidipagina"/>
        <w:jc w:val="both"/>
        <w:rPr>
          <w:rFonts w:cs="Arial"/>
          <w:szCs w:val="16"/>
          <w:lang w:val="hu-HU"/>
        </w:rPr>
      </w:pPr>
      <w:r w:rsidRPr="00C44189">
        <w:rPr>
          <w:rStyle w:val="Rimandonotaapidipagina"/>
          <w:rFonts w:ascii="Arial" w:hAnsi="Arial" w:cs="Arial"/>
          <w:szCs w:val="16"/>
        </w:rPr>
        <w:footnoteRef/>
      </w:r>
      <w:r w:rsidRPr="00C44189">
        <w:rPr>
          <w:rFonts w:cs="Arial"/>
          <w:szCs w:val="16"/>
          <w:lang w:val="hu-HU"/>
        </w:rPr>
        <w:t xml:space="preserve"> Hvg.hu, ’</w:t>
      </w:r>
      <w:r w:rsidRPr="0055056D">
        <w:rPr>
          <w:rStyle w:val="Collegamentoipertestuale"/>
          <w:rFonts w:cs="Arial"/>
          <w:color w:val="auto"/>
          <w:szCs w:val="16"/>
          <w:u w:val="none"/>
          <w:lang w:val="hu-HU"/>
        </w:rPr>
        <w:t>Court: Figyelő’s blacklist was unlawful and intimidating, everyone is entitled to apology and compensation’</w:t>
      </w:r>
      <w:r w:rsidRPr="00C44189">
        <w:rPr>
          <w:rFonts w:cs="Arial"/>
          <w:szCs w:val="16"/>
          <w:lang w:val="hu-HU"/>
        </w:rPr>
        <w:t xml:space="preserve"> (</w:t>
      </w:r>
      <w:r w:rsidR="00F14CEF" w:rsidRPr="0055056D">
        <w:rPr>
          <w:lang w:val="hu-HU"/>
        </w:rPr>
        <w:t>Bíróság: Jogsértő és félelemkeltő volt a Figyelő feketelistája, mindenkinek jár a bocsánatkérés és a sérelemdíj</w:t>
      </w:r>
      <w:r w:rsidRPr="00C44189">
        <w:rPr>
          <w:rStyle w:val="Collegamentoipertestuale"/>
          <w:rFonts w:cs="Arial"/>
          <w:szCs w:val="16"/>
          <w:lang w:val="hu-HU"/>
        </w:rPr>
        <w:t>)</w:t>
      </w:r>
      <w:r w:rsidRPr="00C44189">
        <w:rPr>
          <w:rFonts w:cs="Arial"/>
          <w:szCs w:val="16"/>
          <w:lang w:val="hu-HU"/>
        </w:rPr>
        <w:t>, 28 September 2022</w:t>
      </w:r>
      <w:r w:rsidR="00F14CEF" w:rsidRPr="00C44189">
        <w:rPr>
          <w:rFonts w:cs="Arial"/>
          <w:szCs w:val="16"/>
          <w:lang w:val="hu-HU"/>
        </w:rPr>
        <w:t>, available at https://hvg.hu/itthon/20220928_Jogsertes_birosag_itelet_Figyelo_Sorosugynokozos_listazas_serelemdij</w:t>
      </w:r>
      <w:r w:rsidRPr="00C44189">
        <w:rPr>
          <w:rFonts w:cs="Arial"/>
          <w:szCs w:val="16"/>
          <w:lang w:val="hu-HU"/>
        </w:rPr>
        <w:t>.</w:t>
      </w:r>
    </w:p>
  </w:footnote>
  <w:footnote w:id="133">
    <w:p w14:paraId="634B6726" w14:textId="77777777" w:rsidR="00986890" w:rsidRPr="00C44189" w:rsidRDefault="00986890" w:rsidP="00AA1605">
      <w:pPr>
        <w:pStyle w:val="Testonotaapidipagina"/>
        <w:jc w:val="both"/>
        <w:rPr>
          <w:rFonts w:cs="Arial"/>
          <w:szCs w:val="16"/>
          <w:lang w:val="hu-HU"/>
        </w:rPr>
      </w:pPr>
      <w:r w:rsidRPr="00C44189">
        <w:rPr>
          <w:rStyle w:val="Rimandonotaapidipagina"/>
          <w:rFonts w:ascii="Arial" w:hAnsi="Arial" w:cs="Arial"/>
          <w:szCs w:val="16"/>
        </w:rPr>
        <w:footnoteRef/>
      </w:r>
      <w:r w:rsidRPr="00C44189">
        <w:rPr>
          <w:rFonts w:cs="Arial"/>
          <w:szCs w:val="16"/>
        </w:rPr>
        <w:t xml:space="preserve"> </w:t>
      </w:r>
      <w:r w:rsidRPr="00C44189">
        <w:rPr>
          <w:rFonts w:cs="Arial"/>
          <w:szCs w:val="16"/>
          <w:lang w:val="hu-HU"/>
        </w:rPr>
        <w:t xml:space="preserve">Budapest-Capital Regional Court, Decision </w:t>
      </w:r>
      <w:r w:rsidRPr="00C44189">
        <w:rPr>
          <w:rFonts w:cs="Arial"/>
          <w:szCs w:val="16"/>
        </w:rPr>
        <w:t>39.P.22.816/2021/20., 28 September 2022.</w:t>
      </w:r>
    </w:p>
  </w:footnote>
  <w:footnote w:id="134">
    <w:p w14:paraId="308B96D7" w14:textId="43AD5D5C" w:rsidR="00C046B9" w:rsidRPr="00C44189" w:rsidRDefault="00C046B9" w:rsidP="00AA1605">
      <w:pPr>
        <w:pStyle w:val="Testonotaapidipagina"/>
        <w:jc w:val="both"/>
        <w:rPr>
          <w:rFonts w:cs="Arial"/>
          <w:szCs w:val="16"/>
          <w:lang w:val="hu-HU"/>
        </w:rPr>
      </w:pPr>
      <w:r w:rsidRPr="00C44189">
        <w:rPr>
          <w:rStyle w:val="Rimandonotaapidipagina"/>
          <w:rFonts w:ascii="Arial" w:hAnsi="Arial" w:cs="Arial"/>
          <w:szCs w:val="16"/>
        </w:rPr>
        <w:footnoteRef/>
      </w:r>
      <w:r w:rsidRPr="00C44189">
        <w:rPr>
          <w:rFonts w:cs="Arial"/>
          <w:szCs w:val="16"/>
          <w:lang w:val="hu-HU"/>
        </w:rPr>
        <w:t xml:space="preserve"> Hvg.hu, ’</w:t>
      </w:r>
      <w:r w:rsidRPr="0055056D">
        <w:rPr>
          <w:rStyle w:val="Collegamentoipertestuale"/>
          <w:rFonts w:cs="Arial"/>
          <w:color w:val="auto"/>
          <w:szCs w:val="16"/>
          <w:u w:val="none"/>
          <w:lang w:val="hu-HU"/>
        </w:rPr>
        <w:t>Court: Figyelő’s blacklist was unlawful and intimidating, everyone is entitled to apology and compensation’</w:t>
      </w:r>
      <w:r w:rsidRPr="00C44189">
        <w:rPr>
          <w:rFonts w:cs="Arial"/>
          <w:szCs w:val="16"/>
          <w:lang w:val="hu-HU"/>
        </w:rPr>
        <w:t xml:space="preserve"> (</w:t>
      </w:r>
      <w:r w:rsidR="007462D7" w:rsidRPr="0055056D">
        <w:rPr>
          <w:lang w:val="hu-HU"/>
        </w:rPr>
        <w:t>Bíróság: Jogsértő és félelemkeltő volt a Figyelő feketelistája, mindenkinek jár a bocsánatkérés és a sérelemdíj</w:t>
      </w:r>
      <w:r w:rsidRPr="00C44189">
        <w:rPr>
          <w:rStyle w:val="Collegamentoipertestuale"/>
          <w:rFonts w:cs="Arial"/>
          <w:szCs w:val="16"/>
          <w:lang w:val="hu-HU"/>
        </w:rPr>
        <w:t>)</w:t>
      </w:r>
      <w:r w:rsidRPr="00C44189">
        <w:rPr>
          <w:rFonts w:cs="Arial"/>
          <w:szCs w:val="16"/>
          <w:lang w:val="hu-HU"/>
        </w:rPr>
        <w:t>, 28 September 2022</w:t>
      </w:r>
      <w:r w:rsidR="007462D7" w:rsidRPr="00C44189">
        <w:rPr>
          <w:rFonts w:cs="Arial"/>
          <w:szCs w:val="16"/>
          <w:lang w:val="hu-HU"/>
        </w:rPr>
        <w:t>, available at https://hvg.hu/itthon/20220928_Jogsertes_birosag_itelet_Figyelo_Sorosugynokozos_listazas_serelemdij</w:t>
      </w:r>
      <w:r w:rsidRPr="00C44189">
        <w:rPr>
          <w:rFonts w:cs="Arial"/>
          <w:szCs w:val="16"/>
          <w:lang w:val="hu-HU"/>
        </w:rPr>
        <w:t>.</w:t>
      </w:r>
    </w:p>
  </w:footnote>
  <w:footnote w:id="135">
    <w:p w14:paraId="75CEBDB9" w14:textId="2E1258D6" w:rsidR="00D53895" w:rsidRPr="00C44189" w:rsidRDefault="00D53895" w:rsidP="00AA1605">
      <w:pPr>
        <w:pStyle w:val="Testonotaapidipagina"/>
        <w:jc w:val="both"/>
        <w:rPr>
          <w:rFonts w:cs="Arial"/>
          <w:szCs w:val="16"/>
          <w:lang w:val="hu-HU"/>
        </w:rPr>
      </w:pPr>
      <w:r w:rsidRPr="00C44189">
        <w:rPr>
          <w:rStyle w:val="Rimandonotaapidipagina"/>
          <w:rFonts w:ascii="Arial" w:hAnsi="Arial" w:cs="Arial"/>
          <w:szCs w:val="16"/>
        </w:rPr>
        <w:footnoteRef/>
      </w:r>
      <w:r w:rsidRPr="00C44189">
        <w:rPr>
          <w:rFonts w:cs="Arial"/>
          <w:szCs w:val="16"/>
        </w:rPr>
        <w:t xml:space="preserve"> Figyelo.hu, </w:t>
      </w:r>
      <w:r w:rsidR="008B45E2" w:rsidRPr="00C44189">
        <w:rPr>
          <w:rFonts w:cs="Arial"/>
          <w:szCs w:val="16"/>
        </w:rPr>
        <w:t xml:space="preserve">The </w:t>
      </w:r>
      <w:proofErr w:type="spellStart"/>
      <w:r w:rsidR="008B45E2" w:rsidRPr="00C44189">
        <w:rPr>
          <w:rFonts w:cs="Arial"/>
          <w:szCs w:val="16"/>
        </w:rPr>
        <w:t>Figyelő’s</w:t>
      </w:r>
      <w:proofErr w:type="spellEnd"/>
      <w:r w:rsidR="008B45E2" w:rsidRPr="00C44189">
        <w:rPr>
          <w:rFonts w:cs="Arial"/>
          <w:szCs w:val="16"/>
        </w:rPr>
        <w:t xml:space="preserve"> apology for the article "The speculator's men" </w:t>
      </w:r>
      <w:r w:rsidR="002374EE" w:rsidRPr="00C44189">
        <w:rPr>
          <w:rFonts w:cs="Arial"/>
          <w:szCs w:val="16"/>
        </w:rPr>
        <w:t>(</w:t>
      </w:r>
      <w:r w:rsidR="00BC3155" w:rsidRPr="00C44189">
        <w:rPr>
          <w:rFonts w:cs="Arial"/>
          <w:i/>
          <w:iCs/>
          <w:szCs w:val="16"/>
        </w:rPr>
        <w:t xml:space="preserve">A </w:t>
      </w:r>
      <w:proofErr w:type="spellStart"/>
      <w:r w:rsidR="00BC3155" w:rsidRPr="00C44189">
        <w:rPr>
          <w:rFonts w:cs="Arial"/>
          <w:i/>
          <w:iCs/>
          <w:szCs w:val="16"/>
        </w:rPr>
        <w:t>Figyelő</w:t>
      </w:r>
      <w:proofErr w:type="spellEnd"/>
      <w:r w:rsidR="00BC3155" w:rsidRPr="00C44189">
        <w:rPr>
          <w:rFonts w:cs="Arial"/>
          <w:i/>
          <w:iCs/>
          <w:szCs w:val="16"/>
        </w:rPr>
        <w:t xml:space="preserve"> </w:t>
      </w:r>
      <w:proofErr w:type="spellStart"/>
      <w:r w:rsidR="00BC3155" w:rsidRPr="00C44189">
        <w:rPr>
          <w:rFonts w:cs="Arial"/>
          <w:i/>
          <w:iCs/>
          <w:szCs w:val="16"/>
        </w:rPr>
        <w:t>bocsánatkérése</w:t>
      </w:r>
      <w:proofErr w:type="spellEnd"/>
      <w:r w:rsidR="00BC3155" w:rsidRPr="00C44189">
        <w:rPr>
          <w:rFonts w:cs="Arial"/>
          <w:i/>
          <w:iCs/>
          <w:szCs w:val="16"/>
        </w:rPr>
        <w:t xml:space="preserve"> „A </w:t>
      </w:r>
      <w:proofErr w:type="spellStart"/>
      <w:r w:rsidR="00BC3155" w:rsidRPr="00C44189">
        <w:rPr>
          <w:rFonts w:cs="Arial"/>
          <w:i/>
          <w:iCs/>
          <w:szCs w:val="16"/>
        </w:rPr>
        <w:t>spekuláns</w:t>
      </w:r>
      <w:proofErr w:type="spellEnd"/>
      <w:r w:rsidR="00BC3155" w:rsidRPr="00C44189">
        <w:rPr>
          <w:rFonts w:cs="Arial"/>
          <w:i/>
          <w:iCs/>
          <w:szCs w:val="16"/>
        </w:rPr>
        <w:t xml:space="preserve"> </w:t>
      </w:r>
      <w:proofErr w:type="spellStart"/>
      <w:r w:rsidR="00BC3155" w:rsidRPr="00C44189">
        <w:rPr>
          <w:rFonts w:cs="Arial"/>
          <w:i/>
          <w:iCs/>
          <w:szCs w:val="16"/>
        </w:rPr>
        <w:t>emberei</w:t>
      </w:r>
      <w:proofErr w:type="spellEnd"/>
      <w:r w:rsidR="00BC3155" w:rsidRPr="00C44189">
        <w:rPr>
          <w:rFonts w:cs="Arial"/>
          <w:i/>
          <w:iCs/>
          <w:szCs w:val="16"/>
        </w:rPr>
        <w:t xml:space="preserve">” </w:t>
      </w:r>
      <w:proofErr w:type="spellStart"/>
      <w:r w:rsidR="00BC3155" w:rsidRPr="00C44189">
        <w:rPr>
          <w:rFonts w:cs="Arial"/>
          <w:i/>
          <w:iCs/>
          <w:szCs w:val="16"/>
        </w:rPr>
        <w:t>című</w:t>
      </w:r>
      <w:proofErr w:type="spellEnd"/>
      <w:r w:rsidR="00BC3155" w:rsidRPr="00C44189">
        <w:rPr>
          <w:rFonts w:cs="Arial"/>
          <w:i/>
          <w:iCs/>
          <w:szCs w:val="16"/>
        </w:rPr>
        <w:t xml:space="preserve"> </w:t>
      </w:r>
      <w:proofErr w:type="spellStart"/>
      <w:r w:rsidR="00BC3155" w:rsidRPr="00C44189">
        <w:rPr>
          <w:rFonts w:cs="Arial"/>
          <w:i/>
          <w:iCs/>
          <w:szCs w:val="16"/>
        </w:rPr>
        <w:t>cikk</w:t>
      </w:r>
      <w:proofErr w:type="spellEnd"/>
      <w:r w:rsidR="00BC3155" w:rsidRPr="00C44189">
        <w:rPr>
          <w:rFonts w:cs="Arial"/>
          <w:i/>
          <w:iCs/>
          <w:szCs w:val="16"/>
        </w:rPr>
        <w:t xml:space="preserve"> </w:t>
      </w:r>
      <w:proofErr w:type="spellStart"/>
      <w:r w:rsidR="00BC3155" w:rsidRPr="00C44189">
        <w:rPr>
          <w:rFonts w:cs="Arial"/>
          <w:i/>
          <w:iCs/>
          <w:szCs w:val="16"/>
        </w:rPr>
        <w:t>miatt</w:t>
      </w:r>
      <w:proofErr w:type="spellEnd"/>
      <w:r w:rsidR="002374EE" w:rsidRPr="00C44189">
        <w:rPr>
          <w:rFonts w:cs="Arial"/>
          <w:szCs w:val="16"/>
        </w:rPr>
        <w:t xml:space="preserve">), </w:t>
      </w:r>
      <w:r w:rsidR="002374EE" w:rsidRPr="00C44189">
        <w:rPr>
          <w:rFonts w:eastAsia="Calibri" w:cs="Arial"/>
          <w:szCs w:val="16"/>
          <w:lang w:eastAsia="en-US"/>
        </w:rPr>
        <w:t>10 February 2023</w:t>
      </w:r>
      <w:r w:rsidR="001A3563" w:rsidRPr="00C44189">
        <w:rPr>
          <w:rFonts w:eastAsia="Calibri" w:cs="Arial"/>
          <w:szCs w:val="16"/>
          <w:lang w:eastAsia="en-US"/>
        </w:rPr>
        <w:t>, available at</w:t>
      </w:r>
      <w:r w:rsidR="001A3563" w:rsidRPr="00C44189">
        <w:rPr>
          <w:rFonts w:cs="Arial"/>
          <w:szCs w:val="16"/>
        </w:rPr>
        <w:t xml:space="preserve"> </w:t>
      </w:r>
      <w:r w:rsidR="001A3563" w:rsidRPr="00C44189">
        <w:rPr>
          <w:rFonts w:eastAsia="Calibri" w:cs="Arial"/>
          <w:szCs w:val="16"/>
          <w:lang w:eastAsia="en-US"/>
        </w:rPr>
        <w:t>https://figyelo.hu/hirek/a-figyelo-kozlemenye-182629/</w:t>
      </w:r>
      <w:r w:rsidR="002374EE" w:rsidRPr="00C44189">
        <w:rPr>
          <w:rFonts w:eastAsia="Calibri" w:cs="Arial"/>
          <w:szCs w:val="16"/>
          <w:lang w:eastAsia="en-US"/>
        </w:rPr>
        <w:t>.</w:t>
      </w:r>
    </w:p>
  </w:footnote>
  <w:footnote w:id="136">
    <w:p w14:paraId="26F19560" w14:textId="77777777" w:rsidR="00131239" w:rsidRPr="00C44189" w:rsidRDefault="00131239" w:rsidP="00AA1605">
      <w:pPr>
        <w:pStyle w:val="MFootnoteText"/>
        <w:jc w:val="both"/>
        <w:rPr>
          <w:rFonts w:cs="Arial"/>
          <w:szCs w:val="16"/>
          <w:lang w:val="de-DE"/>
        </w:rPr>
      </w:pPr>
      <w:r w:rsidRPr="00C44189">
        <w:rPr>
          <w:rStyle w:val="Rimandonotaapidipagina"/>
          <w:rFonts w:ascii="Arial" w:hAnsi="Arial" w:cs="Arial"/>
          <w:szCs w:val="16"/>
        </w:rPr>
        <w:footnoteRef/>
      </w:r>
      <w:r w:rsidRPr="00C44189">
        <w:rPr>
          <w:rFonts w:cs="Arial"/>
          <w:szCs w:val="16"/>
          <w:lang w:val="de-DE"/>
        </w:rPr>
        <w:t xml:space="preserve"> </w:t>
      </w:r>
      <w:hyperlink r:id="rId50" w:history="1">
        <w:r w:rsidRPr="00C44189">
          <w:rPr>
            <w:rStyle w:val="Collegamentoipertestuale"/>
            <w:rFonts w:cs="Arial"/>
            <w:szCs w:val="16"/>
            <w:lang w:val="de-DE"/>
          </w:rPr>
          <w:t>https://commission.europa.eu/publications/2022-rule-law-report-communication-and-country-chapters_en</w:t>
        </w:r>
      </w:hyperlink>
      <w:r w:rsidRPr="00C44189">
        <w:rPr>
          <w:rFonts w:cs="Arial"/>
          <w:szCs w:val="16"/>
          <w:lang w:val="de-DE"/>
        </w:rPr>
        <w:t xml:space="preserve"> </w:t>
      </w:r>
    </w:p>
  </w:footnote>
  <w:footnote w:id="137">
    <w:p w14:paraId="01875955" w14:textId="66EFD7A8" w:rsidR="00CB7252" w:rsidRPr="00C44189" w:rsidRDefault="00CB7252"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proofErr w:type="spellStart"/>
      <w:r w:rsidR="007D27AF" w:rsidRPr="00C44189">
        <w:rPr>
          <w:rFonts w:cs="Arial"/>
          <w:szCs w:val="16"/>
        </w:rPr>
        <w:t>CoE</w:t>
      </w:r>
      <w:proofErr w:type="spellEnd"/>
      <w:r w:rsidR="007D27AF" w:rsidRPr="00C44189">
        <w:rPr>
          <w:rFonts w:cs="Arial"/>
          <w:szCs w:val="16"/>
        </w:rPr>
        <w:t xml:space="preserve"> Parliamentary Assembly, Committee on Legal Affairs and Human Rights, Corruption as a threat to the Rule of Law – Report</w:t>
      </w:r>
      <w:r w:rsidR="003B4D18" w:rsidRPr="00C44189">
        <w:rPr>
          <w:rFonts w:cs="Arial"/>
          <w:szCs w:val="16"/>
        </w:rPr>
        <w:t xml:space="preserve">, </w:t>
      </w:r>
    </w:p>
    <w:p w14:paraId="13EB0B15" w14:textId="4A735352" w:rsidR="003B4D18" w:rsidRPr="00C44189" w:rsidRDefault="003B4D18" w:rsidP="00AA1605">
      <w:pPr>
        <w:pStyle w:val="Testonotaapidipagina"/>
        <w:jc w:val="both"/>
        <w:rPr>
          <w:rFonts w:cs="Arial"/>
          <w:szCs w:val="16"/>
        </w:rPr>
      </w:pPr>
      <w:r w:rsidRPr="00C44189">
        <w:rPr>
          <w:rFonts w:cs="Arial"/>
          <w:szCs w:val="16"/>
        </w:rPr>
        <w:t xml:space="preserve">available at: </w:t>
      </w:r>
      <w:hyperlink r:id="rId51" w:history="1">
        <w:r w:rsidRPr="00C44189">
          <w:rPr>
            <w:rStyle w:val="Collegamentoipertestuale"/>
            <w:rFonts w:cs="Arial"/>
            <w:szCs w:val="16"/>
          </w:rPr>
          <w:t>https://assembly.coe.int/CommitteeDocs/2013/NYFf%C4%B1nalpressfjdoc1e.pdf</w:t>
        </w:r>
      </w:hyperlink>
      <w:r w:rsidRPr="00C44189">
        <w:rPr>
          <w:rFonts w:cs="Arial"/>
          <w:szCs w:val="16"/>
        </w:rPr>
        <w:t xml:space="preserve"> </w:t>
      </w:r>
    </w:p>
  </w:footnote>
  <w:footnote w:id="138">
    <w:p w14:paraId="33AE3E05" w14:textId="77777777" w:rsidR="00581AC3" w:rsidRPr="00C44189" w:rsidRDefault="000D4EC3"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00955392" w:rsidRPr="00C44189">
        <w:rPr>
          <w:rFonts w:cs="Arial"/>
          <w:szCs w:val="16"/>
          <w:lang w:val="en-US"/>
        </w:rPr>
        <w:t>Poli</w:t>
      </w:r>
      <w:r w:rsidR="00581AC3" w:rsidRPr="00C44189">
        <w:rPr>
          <w:rFonts w:cs="Arial"/>
          <w:szCs w:val="16"/>
          <w:lang w:val="en-US"/>
        </w:rPr>
        <w:t>tico</w:t>
      </w:r>
      <w:r w:rsidR="00955392" w:rsidRPr="00C44189">
        <w:rPr>
          <w:rFonts w:cs="Arial"/>
          <w:szCs w:val="16"/>
          <w:lang w:val="en-US"/>
        </w:rPr>
        <w:t xml:space="preserve">, Hungary seen as most corrupt country in the EU, study finds, </w:t>
      </w:r>
      <w:r w:rsidR="00581AC3" w:rsidRPr="00C44189">
        <w:rPr>
          <w:rFonts w:cs="Arial"/>
          <w:szCs w:val="16"/>
          <w:lang w:val="en-US"/>
        </w:rPr>
        <w:t xml:space="preserve">31 January 2023, </w:t>
      </w:r>
    </w:p>
    <w:p w14:paraId="11C5B4CE" w14:textId="6A900F77" w:rsidR="00581AC3" w:rsidRPr="00C44189" w:rsidRDefault="00581AC3" w:rsidP="00AA1605">
      <w:pPr>
        <w:pStyle w:val="Testonotaapidipagina"/>
        <w:jc w:val="both"/>
        <w:rPr>
          <w:rFonts w:cs="Arial"/>
          <w:szCs w:val="16"/>
          <w:lang w:val="en-US"/>
        </w:rPr>
      </w:pPr>
      <w:r w:rsidRPr="00C44189">
        <w:rPr>
          <w:rFonts w:cs="Arial"/>
          <w:szCs w:val="16"/>
          <w:lang w:val="en-US"/>
        </w:rPr>
        <w:t xml:space="preserve">available at: </w:t>
      </w:r>
      <w:hyperlink r:id="rId52" w:history="1">
        <w:r w:rsidRPr="00C44189">
          <w:rPr>
            <w:rStyle w:val="Collegamentoipertestuale"/>
            <w:rFonts w:cs="Arial"/>
            <w:szCs w:val="16"/>
            <w:lang w:val="en-US"/>
          </w:rPr>
          <w:t>https://www.politico.eu/article/hungary-orban-corruption-transparency-international/</w:t>
        </w:r>
      </w:hyperlink>
      <w:r w:rsidRPr="00C44189">
        <w:rPr>
          <w:rFonts w:cs="Arial"/>
          <w:szCs w:val="16"/>
          <w:lang w:val="en-US"/>
        </w:rPr>
        <w:t xml:space="preserve"> </w:t>
      </w:r>
    </w:p>
    <w:p w14:paraId="17EDA4CB" w14:textId="77777777" w:rsidR="00581AC3" w:rsidRPr="00C44189" w:rsidRDefault="007F62AE" w:rsidP="00AA1605">
      <w:pPr>
        <w:pStyle w:val="Testonotaapidipagina"/>
        <w:jc w:val="both"/>
        <w:rPr>
          <w:rFonts w:cs="Arial"/>
          <w:szCs w:val="16"/>
          <w:lang w:val="en-US"/>
        </w:rPr>
      </w:pPr>
      <w:r w:rsidRPr="00C44189">
        <w:rPr>
          <w:rFonts w:cs="Arial"/>
          <w:szCs w:val="16"/>
          <w:lang w:val="en-US"/>
        </w:rPr>
        <w:t>Transparency International, Corruption Perception Index 2022,</w:t>
      </w:r>
    </w:p>
    <w:p w14:paraId="240D1ED8" w14:textId="10834B55" w:rsidR="000D4EC3" w:rsidRPr="00C44189" w:rsidRDefault="007F62AE" w:rsidP="00AA1605">
      <w:pPr>
        <w:pStyle w:val="Testonotaapidipagina"/>
        <w:jc w:val="both"/>
        <w:rPr>
          <w:rFonts w:cs="Arial"/>
          <w:szCs w:val="16"/>
          <w:lang w:val="en-US"/>
        </w:rPr>
      </w:pPr>
      <w:r w:rsidRPr="00C44189">
        <w:rPr>
          <w:rFonts w:cs="Arial"/>
          <w:szCs w:val="16"/>
          <w:lang w:val="en-US"/>
        </w:rPr>
        <w:t xml:space="preserve"> </w:t>
      </w:r>
      <w:r w:rsidR="00855439" w:rsidRPr="00C44189">
        <w:rPr>
          <w:rFonts w:cs="Arial"/>
          <w:szCs w:val="16"/>
          <w:lang w:val="en-US"/>
        </w:rPr>
        <w:t xml:space="preserve">available at: </w:t>
      </w:r>
      <w:hyperlink r:id="rId53" w:history="1">
        <w:r w:rsidR="00855439" w:rsidRPr="00C44189">
          <w:rPr>
            <w:rStyle w:val="Collegamentoipertestuale"/>
            <w:rFonts w:cs="Arial"/>
            <w:szCs w:val="16"/>
            <w:lang w:val="en-US"/>
          </w:rPr>
          <w:t>https://images.transparencycdn.org/images/CPI2022-Report-Embargoed-until-6.01am-CET-31-JANUARY-2023.pdf</w:t>
        </w:r>
      </w:hyperlink>
    </w:p>
  </w:footnote>
  <w:footnote w:id="139">
    <w:p w14:paraId="7F037B0D" w14:textId="6A8CE64E" w:rsidR="006E3FE9" w:rsidRPr="00C44189" w:rsidRDefault="006E3FE9"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Pr="00C44189">
        <w:rPr>
          <w:rFonts w:cs="Arial"/>
          <w:szCs w:val="16"/>
          <w:lang w:val="en-US"/>
        </w:rPr>
        <w:t>Transparency Internat</w:t>
      </w:r>
      <w:r w:rsidR="003C6665" w:rsidRPr="00C44189">
        <w:rPr>
          <w:rFonts w:cs="Arial"/>
          <w:szCs w:val="16"/>
          <w:lang w:val="en-US"/>
        </w:rPr>
        <w:t xml:space="preserve">ional, Corruption Perception Index: Hungary, available at: </w:t>
      </w:r>
      <w:hyperlink r:id="rId54" w:history="1">
        <w:r w:rsidR="003C6665" w:rsidRPr="00C44189">
          <w:rPr>
            <w:rStyle w:val="Collegamentoipertestuale"/>
            <w:rFonts w:cs="Arial"/>
            <w:szCs w:val="16"/>
            <w:lang w:val="en-US"/>
          </w:rPr>
          <w:t>https://www.transparency.org/en/cpi/2022/index/hun</w:t>
        </w:r>
      </w:hyperlink>
      <w:r w:rsidR="003C6665" w:rsidRPr="00C44189">
        <w:rPr>
          <w:rFonts w:cs="Arial"/>
          <w:szCs w:val="16"/>
          <w:lang w:val="en-US"/>
        </w:rPr>
        <w:t xml:space="preserve"> </w:t>
      </w:r>
    </w:p>
  </w:footnote>
  <w:footnote w:id="140">
    <w:p w14:paraId="40F1DBCE" w14:textId="560AB263" w:rsidR="00723BDB" w:rsidRPr="00C44189" w:rsidRDefault="00723BDB"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00272503" w:rsidRPr="00C44189">
        <w:rPr>
          <w:rFonts w:cs="Arial"/>
          <w:szCs w:val="16"/>
          <w:lang w:val="en-US"/>
        </w:rPr>
        <w:t>Index,</w:t>
      </w:r>
      <w:r w:rsidR="00A20A36" w:rsidRPr="00C44189">
        <w:rPr>
          <w:rFonts w:cs="Arial"/>
          <w:szCs w:val="16"/>
          <w:lang w:val="en-US"/>
        </w:rPr>
        <w:t xml:space="preserve"> Everything you need to know about the </w:t>
      </w:r>
      <w:proofErr w:type="spellStart"/>
      <w:r w:rsidR="00A20A36" w:rsidRPr="00C44189">
        <w:rPr>
          <w:rFonts w:cs="Arial"/>
          <w:szCs w:val="16"/>
          <w:lang w:val="en-US"/>
        </w:rPr>
        <w:t>Schadl-Völner</w:t>
      </w:r>
      <w:proofErr w:type="spellEnd"/>
      <w:r w:rsidR="00A20A36" w:rsidRPr="00C44189">
        <w:rPr>
          <w:rFonts w:cs="Arial"/>
          <w:szCs w:val="16"/>
          <w:lang w:val="en-US"/>
        </w:rPr>
        <w:t xml:space="preserve"> case</w:t>
      </w:r>
      <w:r w:rsidR="00272503" w:rsidRPr="00C44189">
        <w:rPr>
          <w:rFonts w:cs="Arial"/>
          <w:szCs w:val="16"/>
          <w:lang w:val="en-US"/>
        </w:rPr>
        <w:t xml:space="preserve"> (</w:t>
      </w:r>
      <w:r w:rsidR="00272503" w:rsidRPr="00C44189">
        <w:rPr>
          <w:rFonts w:cs="Arial"/>
          <w:i/>
          <w:iCs/>
          <w:szCs w:val="16"/>
          <w:lang w:val="en-US"/>
        </w:rPr>
        <w:t xml:space="preserve">Minden, </w:t>
      </w:r>
      <w:proofErr w:type="spellStart"/>
      <w:r w:rsidR="00272503" w:rsidRPr="00C44189">
        <w:rPr>
          <w:rFonts w:cs="Arial"/>
          <w:i/>
          <w:iCs/>
          <w:szCs w:val="16"/>
          <w:lang w:val="en-US"/>
        </w:rPr>
        <w:t>amit</w:t>
      </w:r>
      <w:proofErr w:type="spellEnd"/>
      <w:r w:rsidR="00272503" w:rsidRPr="00C44189">
        <w:rPr>
          <w:rFonts w:cs="Arial"/>
          <w:i/>
          <w:iCs/>
          <w:szCs w:val="16"/>
          <w:lang w:val="en-US"/>
        </w:rPr>
        <w:t xml:space="preserve"> a </w:t>
      </w:r>
      <w:proofErr w:type="spellStart"/>
      <w:r w:rsidR="00272503" w:rsidRPr="00C44189">
        <w:rPr>
          <w:rFonts w:cs="Arial"/>
          <w:i/>
          <w:iCs/>
          <w:szCs w:val="16"/>
          <w:lang w:val="en-US"/>
        </w:rPr>
        <w:t>Schadl</w:t>
      </w:r>
      <w:proofErr w:type="spellEnd"/>
      <w:r w:rsidR="00272503" w:rsidRPr="00C44189">
        <w:rPr>
          <w:rFonts w:cs="Arial"/>
          <w:i/>
          <w:iCs/>
          <w:szCs w:val="16"/>
          <w:lang w:val="en-US"/>
        </w:rPr>
        <w:t>–</w:t>
      </w:r>
      <w:proofErr w:type="spellStart"/>
      <w:r w:rsidR="00272503" w:rsidRPr="00C44189">
        <w:rPr>
          <w:rFonts w:cs="Arial"/>
          <w:i/>
          <w:iCs/>
          <w:szCs w:val="16"/>
          <w:lang w:val="en-US"/>
        </w:rPr>
        <w:t>Völner-perről</w:t>
      </w:r>
      <w:proofErr w:type="spellEnd"/>
      <w:r w:rsidR="00272503" w:rsidRPr="00C44189">
        <w:rPr>
          <w:rFonts w:cs="Arial"/>
          <w:i/>
          <w:iCs/>
          <w:szCs w:val="16"/>
          <w:lang w:val="en-US"/>
        </w:rPr>
        <w:t xml:space="preserve"> </w:t>
      </w:r>
      <w:proofErr w:type="spellStart"/>
      <w:r w:rsidR="00272503" w:rsidRPr="00C44189">
        <w:rPr>
          <w:rFonts w:cs="Arial"/>
          <w:i/>
          <w:iCs/>
          <w:szCs w:val="16"/>
          <w:lang w:val="en-US"/>
        </w:rPr>
        <w:t>tudni</w:t>
      </w:r>
      <w:proofErr w:type="spellEnd"/>
      <w:r w:rsidR="00272503" w:rsidRPr="00C44189">
        <w:rPr>
          <w:rFonts w:cs="Arial"/>
          <w:i/>
          <w:iCs/>
          <w:szCs w:val="16"/>
          <w:lang w:val="en-US"/>
        </w:rPr>
        <w:t xml:space="preserve"> </w:t>
      </w:r>
      <w:proofErr w:type="spellStart"/>
      <w:r w:rsidR="00272503" w:rsidRPr="00C44189">
        <w:rPr>
          <w:rFonts w:cs="Arial"/>
          <w:i/>
          <w:iCs/>
          <w:szCs w:val="16"/>
          <w:lang w:val="en-US"/>
        </w:rPr>
        <w:t>érdemes</w:t>
      </w:r>
      <w:proofErr w:type="spellEnd"/>
      <w:r w:rsidR="00272503" w:rsidRPr="00C44189">
        <w:rPr>
          <w:rFonts w:cs="Arial"/>
          <w:szCs w:val="16"/>
          <w:lang w:val="en-US"/>
        </w:rPr>
        <w:t>)</w:t>
      </w:r>
      <w:r w:rsidR="00A20A36" w:rsidRPr="00C44189">
        <w:rPr>
          <w:rFonts w:cs="Arial"/>
          <w:szCs w:val="16"/>
          <w:lang w:val="en-US"/>
        </w:rPr>
        <w:t xml:space="preserve">, available at: </w:t>
      </w:r>
      <w:hyperlink r:id="rId55" w:history="1">
        <w:r w:rsidR="00102B71" w:rsidRPr="00C44189">
          <w:rPr>
            <w:rStyle w:val="Collegamentoipertestuale"/>
            <w:rFonts w:cs="Arial"/>
            <w:szCs w:val="16"/>
            <w:lang w:val="en-US"/>
          </w:rPr>
          <w:t>https://index.hu/belfold/2023/02/12/schadl-gyorgy-volner-pal-korrupcio-vesztegetes-befolyassal-uzerkedes-vegrehajto/</w:t>
        </w:r>
      </w:hyperlink>
      <w:r w:rsidR="00102B71" w:rsidRPr="00C44189">
        <w:rPr>
          <w:rFonts w:cs="Arial"/>
          <w:szCs w:val="16"/>
          <w:lang w:val="en-US"/>
        </w:rPr>
        <w:t xml:space="preserve"> </w:t>
      </w:r>
    </w:p>
  </w:footnote>
  <w:footnote w:id="141">
    <w:p w14:paraId="5738720A" w14:textId="688D9BD8" w:rsidR="0099364D" w:rsidRPr="00C44189" w:rsidRDefault="0099364D"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HVG, </w:t>
      </w:r>
      <w:proofErr w:type="spellStart"/>
      <w:r w:rsidR="00FB1B3D" w:rsidRPr="00C44189">
        <w:rPr>
          <w:rFonts w:cs="Arial"/>
          <w:szCs w:val="16"/>
        </w:rPr>
        <w:t>György</w:t>
      </w:r>
      <w:proofErr w:type="spellEnd"/>
      <w:r w:rsidR="00FB1B3D" w:rsidRPr="00C44189">
        <w:rPr>
          <w:rFonts w:cs="Arial"/>
          <w:szCs w:val="16"/>
        </w:rPr>
        <w:t xml:space="preserve"> </w:t>
      </w:r>
      <w:proofErr w:type="spellStart"/>
      <w:r w:rsidR="00FB1B3D" w:rsidRPr="00C44189">
        <w:rPr>
          <w:rFonts w:cs="Arial"/>
          <w:szCs w:val="16"/>
        </w:rPr>
        <w:t>Schadl</w:t>
      </w:r>
      <w:proofErr w:type="spellEnd"/>
      <w:r w:rsidR="00FB1B3D" w:rsidRPr="00C44189">
        <w:rPr>
          <w:rFonts w:cs="Arial"/>
          <w:szCs w:val="16"/>
        </w:rPr>
        <w:t xml:space="preserve"> and the chairmanship of the executive faculty also resigned (</w:t>
      </w:r>
      <w:proofErr w:type="spellStart"/>
      <w:r w:rsidR="00384A13" w:rsidRPr="0055056D">
        <w:rPr>
          <w:rFonts w:cs="Arial"/>
          <w:i/>
          <w:iCs/>
          <w:szCs w:val="16"/>
        </w:rPr>
        <w:t>Lemondott</w:t>
      </w:r>
      <w:proofErr w:type="spellEnd"/>
      <w:r w:rsidR="00384A13" w:rsidRPr="0055056D">
        <w:rPr>
          <w:rFonts w:cs="Arial"/>
          <w:i/>
          <w:iCs/>
          <w:szCs w:val="16"/>
        </w:rPr>
        <w:t xml:space="preserve"> </w:t>
      </w:r>
      <w:proofErr w:type="spellStart"/>
      <w:r w:rsidR="00384A13" w:rsidRPr="0055056D">
        <w:rPr>
          <w:rFonts w:cs="Arial"/>
          <w:i/>
          <w:iCs/>
          <w:szCs w:val="16"/>
        </w:rPr>
        <w:t>Schadl</w:t>
      </w:r>
      <w:proofErr w:type="spellEnd"/>
      <w:r w:rsidR="00384A13" w:rsidRPr="0055056D">
        <w:rPr>
          <w:rFonts w:cs="Arial"/>
          <w:i/>
          <w:iCs/>
          <w:szCs w:val="16"/>
        </w:rPr>
        <w:t xml:space="preserve"> </w:t>
      </w:r>
      <w:proofErr w:type="spellStart"/>
      <w:r w:rsidR="00384A13" w:rsidRPr="0055056D">
        <w:rPr>
          <w:rFonts w:cs="Arial"/>
          <w:i/>
          <w:iCs/>
          <w:szCs w:val="16"/>
        </w:rPr>
        <w:t>György</w:t>
      </w:r>
      <w:proofErr w:type="spellEnd"/>
      <w:r w:rsidR="00384A13" w:rsidRPr="0055056D">
        <w:rPr>
          <w:rFonts w:cs="Arial"/>
          <w:i/>
          <w:iCs/>
          <w:szCs w:val="16"/>
        </w:rPr>
        <w:t xml:space="preserve"> </w:t>
      </w:r>
      <w:proofErr w:type="spellStart"/>
      <w:r w:rsidR="00384A13" w:rsidRPr="0055056D">
        <w:rPr>
          <w:rFonts w:cs="Arial"/>
          <w:i/>
          <w:iCs/>
          <w:szCs w:val="16"/>
        </w:rPr>
        <w:t>és</w:t>
      </w:r>
      <w:proofErr w:type="spellEnd"/>
      <w:r w:rsidR="00384A13" w:rsidRPr="0055056D">
        <w:rPr>
          <w:rFonts w:cs="Arial"/>
          <w:i/>
          <w:iCs/>
          <w:szCs w:val="16"/>
        </w:rPr>
        <w:t xml:space="preserve"> a </w:t>
      </w:r>
      <w:proofErr w:type="spellStart"/>
      <w:r w:rsidR="00384A13" w:rsidRPr="0055056D">
        <w:rPr>
          <w:rFonts w:cs="Arial"/>
          <w:i/>
          <w:iCs/>
          <w:szCs w:val="16"/>
        </w:rPr>
        <w:t>végrehajtói</w:t>
      </w:r>
      <w:proofErr w:type="spellEnd"/>
      <w:r w:rsidR="00384A13" w:rsidRPr="0055056D">
        <w:rPr>
          <w:rFonts w:cs="Arial"/>
          <w:i/>
          <w:iCs/>
          <w:szCs w:val="16"/>
        </w:rPr>
        <w:t xml:space="preserve"> </w:t>
      </w:r>
      <w:proofErr w:type="spellStart"/>
      <w:r w:rsidR="00384A13" w:rsidRPr="0055056D">
        <w:rPr>
          <w:rFonts w:cs="Arial"/>
          <w:i/>
          <w:iCs/>
          <w:szCs w:val="16"/>
        </w:rPr>
        <w:t>kar</w:t>
      </w:r>
      <w:proofErr w:type="spellEnd"/>
      <w:r w:rsidR="00384A13" w:rsidRPr="0055056D">
        <w:rPr>
          <w:rFonts w:cs="Arial"/>
          <w:i/>
          <w:iCs/>
          <w:szCs w:val="16"/>
        </w:rPr>
        <w:t xml:space="preserve"> </w:t>
      </w:r>
      <w:proofErr w:type="spellStart"/>
      <w:r w:rsidR="00384A13" w:rsidRPr="0055056D">
        <w:rPr>
          <w:rFonts w:cs="Arial"/>
          <w:i/>
          <w:iCs/>
          <w:szCs w:val="16"/>
        </w:rPr>
        <w:t>elnöksége</w:t>
      </w:r>
      <w:proofErr w:type="spellEnd"/>
      <w:r w:rsidR="00384A13" w:rsidRPr="0055056D">
        <w:rPr>
          <w:rFonts w:cs="Arial"/>
          <w:i/>
          <w:iCs/>
          <w:szCs w:val="16"/>
        </w:rPr>
        <w:t xml:space="preserve"> is</w:t>
      </w:r>
      <w:r w:rsidR="00FB1B3D" w:rsidRPr="00C44189">
        <w:rPr>
          <w:rFonts w:cs="Arial"/>
          <w:szCs w:val="16"/>
        </w:rPr>
        <w:t xml:space="preserve">) </w:t>
      </w:r>
      <w:r w:rsidR="00B97E55" w:rsidRPr="00C44189">
        <w:rPr>
          <w:rFonts w:cs="Arial"/>
          <w:szCs w:val="16"/>
        </w:rPr>
        <w:t xml:space="preserve">27 April 2023, available at: </w:t>
      </w:r>
      <w:hyperlink r:id="rId56" w:history="1">
        <w:r w:rsidR="00B97E55" w:rsidRPr="00C44189">
          <w:rPr>
            <w:rStyle w:val="Collegamentoipertestuale"/>
            <w:rFonts w:cs="Arial"/>
            <w:szCs w:val="16"/>
          </w:rPr>
          <w:t>https://hvg.hu/gazdasag/20230427_schadl_gyorgy_lemondott_mbvk</w:t>
        </w:r>
      </w:hyperlink>
      <w:r w:rsidR="00B97E55" w:rsidRPr="00C44189">
        <w:rPr>
          <w:rFonts w:cs="Arial"/>
          <w:szCs w:val="16"/>
        </w:rPr>
        <w:t xml:space="preserve"> </w:t>
      </w:r>
    </w:p>
  </w:footnote>
  <w:footnote w:id="142">
    <w:p w14:paraId="78EB9B35" w14:textId="76C48D57" w:rsidR="00EB7E99" w:rsidRPr="00C44189" w:rsidRDefault="008D0C39"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EB7E99" w:rsidRPr="00C44189">
        <w:rPr>
          <w:rFonts w:cs="Arial"/>
          <w:szCs w:val="16"/>
        </w:rPr>
        <w:t xml:space="preserve">Commission Staff Working Document, 2022 Rule of Law Report, Country Chapter on the rule of law situation in Hungary, p 10 available at: </w:t>
      </w:r>
      <w:hyperlink r:id="rId57" w:history="1">
        <w:r w:rsidR="00EB7E99" w:rsidRPr="00C44189">
          <w:rPr>
            <w:rStyle w:val="Collegamentoipertestuale"/>
            <w:rFonts w:cs="Arial"/>
            <w:szCs w:val="16"/>
          </w:rPr>
          <w:t>https://commission.europa.eu/system/files/2022-07/40_1_193993_coun_chap_hungary_en.pdf</w:t>
        </w:r>
      </w:hyperlink>
      <w:r w:rsidR="00EB7E99" w:rsidRPr="00C44189">
        <w:rPr>
          <w:rFonts w:cs="Arial"/>
          <w:szCs w:val="16"/>
        </w:rPr>
        <w:t xml:space="preserve"> </w:t>
      </w:r>
    </w:p>
    <w:p w14:paraId="59231E79" w14:textId="01AE3C4D" w:rsidR="008D0C39" w:rsidRPr="00C44189" w:rsidRDefault="008D0C39" w:rsidP="00AA1605">
      <w:pPr>
        <w:pStyle w:val="Testonotaapidipagina"/>
        <w:jc w:val="both"/>
        <w:rPr>
          <w:rFonts w:cs="Arial"/>
          <w:szCs w:val="16"/>
        </w:rPr>
      </w:pPr>
    </w:p>
  </w:footnote>
  <w:footnote w:id="143">
    <w:p w14:paraId="430AE81D" w14:textId="5C374557" w:rsidR="0096585D" w:rsidRPr="00C44189" w:rsidRDefault="0096585D"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655E26" w:rsidRPr="00C44189">
        <w:rPr>
          <w:rFonts w:cs="Arial"/>
          <w:szCs w:val="16"/>
        </w:rPr>
        <w:t xml:space="preserve"> </w:t>
      </w:r>
      <w:r w:rsidR="004A7CC5" w:rsidRPr="00C44189">
        <w:rPr>
          <w:rFonts w:cs="Arial"/>
          <w:szCs w:val="16"/>
        </w:rPr>
        <w:t>Contribution</w:t>
      </w:r>
      <w:r w:rsidR="00B65E18" w:rsidRPr="00C44189">
        <w:rPr>
          <w:rFonts w:cs="Arial"/>
          <w:szCs w:val="16"/>
        </w:rPr>
        <w:t>s</w:t>
      </w:r>
      <w:r w:rsidR="004A7CC5" w:rsidRPr="00C44189">
        <w:rPr>
          <w:rFonts w:cs="Arial"/>
          <w:szCs w:val="16"/>
        </w:rPr>
        <w:t xml:space="preserve"> of Hungarian CSOs</w:t>
      </w:r>
      <w:r w:rsidR="000514C8" w:rsidRPr="00C44189">
        <w:rPr>
          <w:rFonts w:cs="Arial"/>
          <w:szCs w:val="16"/>
        </w:rPr>
        <w:t xml:space="preserve"> to the European Commission’s Rule of Law Report, </w:t>
      </w:r>
      <w:r w:rsidR="002816D9" w:rsidRPr="00C44189">
        <w:rPr>
          <w:rFonts w:cs="Arial"/>
          <w:szCs w:val="16"/>
        </w:rPr>
        <w:t xml:space="preserve">January 2023, </w:t>
      </w:r>
      <w:r w:rsidR="00AC7DCF" w:rsidRPr="00C44189">
        <w:rPr>
          <w:rFonts w:cs="Arial"/>
          <w:szCs w:val="16"/>
        </w:rPr>
        <w:t>p</w:t>
      </w:r>
      <w:r w:rsidR="00655E26" w:rsidRPr="00C44189">
        <w:rPr>
          <w:rFonts w:cs="Arial"/>
          <w:szCs w:val="16"/>
        </w:rPr>
        <w:t xml:space="preserve"> 26</w:t>
      </w:r>
      <w:r w:rsidR="00F22C7E" w:rsidRPr="00C44189">
        <w:rPr>
          <w:rFonts w:cs="Arial"/>
          <w:szCs w:val="16"/>
        </w:rPr>
        <w:t xml:space="preserve"> available at: </w:t>
      </w:r>
      <w:hyperlink r:id="rId58" w:history="1">
        <w:r w:rsidR="00AC7DCF" w:rsidRPr="00C44189">
          <w:rPr>
            <w:rStyle w:val="Collegamentoipertestuale"/>
            <w:rFonts w:cs="Arial"/>
            <w:szCs w:val="16"/>
          </w:rPr>
          <w:t>https://helsinki.hu/en/wp-content/uploads/sites/2/2023/01/HUN_CSO_contribution_EC_RoL_Report_2023.pdf</w:t>
        </w:r>
      </w:hyperlink>
      <w:r w:rsidR="00AC7DCF" w:rsidRPr="00C44189">
        <w:rPr>
          <w:rFonts w:cs="Arial"/>
          <w:szCs w:val="16"/>
        </w:rPr>
        <w:t xml:space="preserve"> </w:t>
      </w:r>
    </w:p>
  </w:footnote>
  <w:footnote w:id="144">
    <w:p w14:paraId="49E69AFE" w14:textId="596D516B" w:rsidR="00BB0AB3" w:rsidRPr="00C44189" w:rsidRDefault="00BB0AB3"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00854BE0" w:rsidRPr="00C44189">
        <w:rPr>
          <w:rFonts w:cs="Arial"/>
          <w:szCs w:val="16"/>
          <w:lang w:val="en-US"/>
        </w:rPr>
        <w:t xml:space="preserve">European Parliament, Think Tank, Rule of law-related ‘super milestones’ in the recovery and resilience plans of Hungary and Poland, </w:t>
      </w:r>
      <w:r w:rsidR="00D04B8B" w:rsidRPr="00C44189">
        <w:rPr>
          <w:rFonts w:cs="Arial"/>
          <w:szCs w:val="16"/>
          <w:lang w:val="en-US"/>
        </w:rPr>
        <w:t xml:space="preserve">24 January 2023, available at: </w:t>
      </w:r>
      <w:hyperlink r:id="rId59" w:history="1">
        <w:r w:rsidR="008B7811" w:rsidRPr="00C44189">
          <w:rPr>
            <w:rStyle w:val="Collegamentoipertestuale"/>
            <w:rFonts w:cs="Arial"/>
            <w:szCs w:val="16"/>
            <w:lang w:val="en-US"/>
          </w:rPr>
          <w:t>https://www.europarl.europa.eu/thinktank/en/document/IPOL_BRI(2023)741581</w:t>
        </w:r>
      </w:hyperlink>
      <w:r w:rsidR="008B7811" w:rsidRPr="00C44189">
        <w:rPr>
          <w:rFonts w:cs="Arial"/>
          <w:szCs w:val="16"/>
          <w:lang w:val="en-US"/>
        </w:rPr>
        <w:t xml:space="preserve"> </w:t>
      </w:r>
    </w:p>
  </w:footnote>
  <w:footnote w:id="145">
    <w:p w14:paraId="4F983EF1" w14:textId="375BEBF7" w:rsidR="007E2518" w:rsidRPr="00C44189" w:rsidRDefault="007E2518"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008A7480" w:rsidRPr="00C44189">
        <w:rPr>
          <w:rFonts w:cs="Arial"/>
          <w:szCs w:val="16"/>
          <w:lang w:val="en-US"/>
        </w:rPr>
        <w:t xml:space="preserve">Hungarian Helsinki Committee, </w:t>
      </w:r>
      <w:r w:rsidR="00C825E5" w:rsidRPr="00C44189">
        <w:rPr>
          <w:rFonts w:cs="Arial"/>
          <w:szCs w:val="16"/>
          <w:lang w:val="en-US"/>
        </w:rPr>
        <w:t xml:space="preserve">K-MONITOR, Transparency International: Hungary, </w:t>
      </w:r>
      <w:r w:rsidR="00B41066" w:rsidRPr="00C44189">
        <w:rPr>
          <w:rFonts w:cs="Arial"/>
          <w:szCs w:val="16"/>
          <w:lang w:val="en-US"/>
        </w:rPr>
        <w:t>The European Commission should be more intransigent</w:t>
      </w:r>
      <w:r w:rsidR="00DB1EE1" w:rsidRPr="00C44189">
        <w:rPr>
          <w:rFonts w:cs="Arial"/>
          <w:szCs w:val="16"/>
          <w:lang w:val="en-US"/>
        </w:rPr>
        <w:t xml:space="preserve"> </w:t>
      </w:r>
      <w:r w:rsidR="00B41066" w:rsidRPr="00C44189">
        <w:rPr>
          <w:rFonts w:cs="Arial"/>
          <w:szCs w:val="16"/>
          <w:lang w:val="en-US"/>
        </w:rPr>
        <w:t>to stop systemic corruption in Hungary</w:t>
      </w:r>
      <w:r w:rsidR="00DB1EE1" w:rsidRPr="00C44189">
        <w:rPr>
          <w:rFonts w:cs="Arial"/>
          <w:szCs w:val="16"/>
          <w:lang w:val="en-US"/>
        </w:rPr>
        <w:t xml:space="preserve"> - </w:t>
      </w:r>
      <w:r w:rsidR="00B41066" w:rsidRPr="00C44189">
        <w:rPr>
          <w:rFonts w:cs="Arial"/>
          <w:szCs w:val="16"/>
          <w:lang w:val="en-US"/>
        </w:rPr>
        <w:t>Civil society on Hungary’s unfolding anticorruption package</w:t>
      </w:r>
      <w:r w:rsidR="00DB1EE1" w:rsidRPr="00C44189">
        <w:rPr>
          <w:rFonts w:cs="Arial"/>
          <w:szCs w:val="16"/>
          <w:lang w:val="en-US"/>
        </w:rPr>
        <w:t xml:space="preserve">, </w:t>
      </w:r>
      <w:r w:rsidR="00B41066" w:rsidRPr="00C44189">
        <w:rPr>
          <w:rFonts w:cs="Arial"/>
          <w:szCs w:val="16"/>
          <w:lang w:val="en-US"/>
        </w:rPr>
        <w:t>17 November 2022</w:t>
      </w:r>
      <w:r w:rsidR="00DB1EE1" w:rsidRPr="00C44189">
        <w:rPr>
          <w:rFonts w:cs="Arial"/>
          <w:szCs w:val="16"/>
          <w:lang w:val="en-US"/>
        </w:rPr>
        <w:t xml:space="preserve">, available at: </w:t>
      </w:r>
      <w:hyperlink r:id="rId60" w:history="1">
        <w:r w:rsidR="000C7D8C" w:rsidRPr="00C44189">
          <w:rPr>
            <w:rStyle w:val="Collegamentoipertestuale"/>
            <w:rFonts w:cs="Arial"/>
            <w:szCs w:val="16"/>
            <w:lang w:val="en-US"/>
          </w:rPr>
          <w:t>https://transparency.hu/wp-content/uploads/2022/11/HU_17_measures_assessment_17112022.pdf</w:t>
        </w:r>
      </w:hyperlink>
      <w:r w:rsidR="000C7D8C" w:rsidRPr="00C44189">
        <w:rPr>
          <w:rFonts w:cs="Arial"/>
          <w:szCs w:val="16"/>
          <w:lang w:val="en-US"/>
        </w:rPr>
        <w:t xml:space="preserve"> </w:t>
      </w:r>
    </w:p>
  </w:footnote>
  <w:footnote w:id="146">
    <w:p w14:paraId="68AC282E" w14:textId="5964022B" w:rsidR="00850C7F" w:rsidRPr="00C44189" w:rsidRDefault="009A76EC"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1B4CD5" w:rsidRPr="00C44189">
        <w:rPr>
          <w:rFonts w:cs="Arial"/>
          <w:szCs w:val="16"/>
        </w:rPr>
        <w:t xml:space="preserve">Article 3 of </w:t>
      </w:r>
      <w:r w:rsidRPr="00C44189">
        <w:rPr>
          <w:rFonts w:cs="Arial"/>
          <w:szCs w:val="16"/>
        </w:rPr>
        <w:t xml:space="preserve">2022. </w:t>
      </w:r>
      <w:proofErr w:type="spellStart"/>
      <w:r w:rsidRPr="00C44189">
        <w:rPr>
          <w:rFonts w:cs="Arial"/>
          <w:szCs w:val="16"/>
        </w:rPr>
        <w:t>évi</w:t>
      </w:r>
      <w:proofErr w:type="spellEnd"/>
      <w:r w:rsidRPr="00C44189">
        <w:rPr>
          <w:rFonts w:cs="Arial"/>
          <w:szCs w:val="16"/>
        </w:rPr>
        <w:t xml:space="preserve"> XXVII. </w:t>
      </w:r>
      <w:proofErr w:type="spellStart"/>
      <w:r w:rsidR="00B44F40" w:rsidRPr="00C44189">
        <w:rPr>
          <w:rFonts w:cs="Arial"/>
          <w:szCs w:val="16"/>
        </w:rPr>
        <w:t>T</w:t>
      </w:r>
      <w:r w:rsidRPr="00C44189">
        <w:rPr>
          <w:rFonts w:cs="Arial"/>
          <w:szCs w:val="16"/>
        </w:rPr>
        <w:t>örvény</w:t>
      </w:r>
      <w:proofErr w:type="spellEnd"/>
      <w:r w:rsidR="00B44F40" w:rsidRPr="00C44189">
        <w:rPr>
          <w:rFonts w:cs="Arial"/>
          <w:szCs w:val="16"/>
        </w:rPr>
        <w:t xml:space="preserve"> </w:t>
      </w:r>
      <w:proofErr w:type="spellStart"/>
      <w:r w:rsidRPr="00C44189">
        <w:rPr>
          <w:rFonts w:cs="Arial"/>
          <w:szCs w:val="16"/>
        </w:rPr>
        <w:t>az</w:t>
      </w:r>
      <w:proofErr w:type="spellEnd"/>
      <w:r w:rsidRPr="00C44189">
        <w:rPr>
          <w:rFonts w:cs="Arial"/>
          <w:szCs w:val="16"/>
        </w:rPr>
        <w:t xml:space="preserve"> </w:t>
      </w:r>
      <w:proofErr w:type="spellStart"/>
      <w:r w:rsidRPr="00C44189">
        <w:rPr>
          <w:rFonts w:cs="Arial"/>
          <w:szCs w:val="16"/>
        </w:rPr>
        <w:t>európai</w:t>
      </w:r>
      <w:proofErr w:type="spellEnd"/>
      <w:r w:rsidRPr="00C44189">
        <w:rPr>
          <w:rFonts w:cs="Arial"/>
          <w:szCs w:val="16"/>
        </w:rPr>
        <w:t xml:space="preserve"> </w:t>
      </w:r>
      <w:proofErr w:type="spellStart"/>
      <w:r w:rsidRPr="00C44189">
        <w:rPr>
          <w:rFonts w:cs="Arial"/>
          <w:szCs w:val="16"/>
        </w:rPr>
        <w:t>uniós</w:t>
      </w:r>
      <w:proofErr w:type="spellEnd"/>
      <w:r w:rsidRPr="00C44189">
        <w:rPr>
          <w:rFonts w:cs="Arial"/>
          <w:szCs w:val="16"/>
        </w:rPr>
        <w:t xml:space="preserve"> </w:t>
      </w:r>
      <w:proofErr w:type="spellStart"/>
      <w:r w:rsidRPr="00C44189">
        <w:rPr>
          <w:rFonts w:cs="Arial"/>
          <w:szCs w:val="16"/>
        </w:rPr>
        <w:t>költségvetési</w:t>
      </w:r>
      <w:proofErr w:type="spellEnd"/>
      <w:r w:rsidRPr="00C44189">
        <w:rPr>
          <w:rFonts w:cs="Arial"/>
          <w:szCs w:val="16"/>
        </w:rPr>
        <w:t xml:space="preserve"> </w:t>
      </w:r>
      <w:proofErr w:type="spellStart"/>
      <w:r w:rsidRPr="00C44189">
        <w:rPr>
          <w:rFonts w:cs="Arial"/>
          <w:szCs w:val="16"/>
        </w:rPr>
        <w:t>források</w:t>
      </w:r>
      <w:proofErr w:type="spellEnd"/>
      <w:r w:rsidRPr="00C44189">
        <w:rPr>
          <w:rFonts w:cs="Arial"/>
          <w:szCs w:val="16"/>
        </w:rPr>
        <w:t xml:space="preserve"> </w:t>
      </w:r>
      <w:proofErr w:type="spellStart"/>
      <w:r w:rsidRPr="00C44189">
        <w:rPr>
          <w:rFonts w:cs="Arial"/>
          <w:szCs w:val="16"/>
        </w:rPr>
        <w:t>felhasználásának</w:t>
      </w:r>
      <w:proofErr w:type="spellEnd"/>
      <w:r w:rsidRPr="00C44189">
        <w:rPr>
          <w:rFonts w:cs="Arial"/>
          <w:szCs w:val="16"/>
        </w:rPr>
        <w:t xml:space="preserve"> </w:t>
      </w:r>
      <w:proofErr w:type="spellStart"/>
      <w:r w:rsidRPr="00C44189">
        <w:rPr>
          <w:rFonts w:cs="Arial"/>
          <w:szCs w:val="16"/>
        </w:rPr>
        <w:t>ellenőrzéséről</w:t>
      </w:r>
      <w:proofErr w:type="spellEnd"/>
      <w:r w:rsidR="00850C7F" w:rsidRPr="00C44189">
        <w:rPr>
          <w:rFonts w:cs="Arial"/>
          <w:szCs w:val="16"/>
        </w:rPr>
        <w:t xml:space="preserve">, </w:t>
      </w:r>
    </w:p>
    <w:p w14:paraId="73EBBDD1" w14:textId="460FD6B1" w:rsidR="009A76EC" w:rsidRPr="00C44189" w:rsidRDefault="00850C7F" w:rsidP="00AA1605">
      <w:pPr>
        <w:pStyle w:val="Testonotaapidipagina"/>
        <w:jc w:val="both"/>
        <w:rPr>
          <w:rFonts w:cs="Arial"/>
          <w:szCs w:val="16"/>
        </w:rPr>
      </w:pPr>
      <w:r w:rsidRPr="00C44189">
        <w:rPr>
          <w:rFonts w:cs="Arial"/>
          <w:szCs w:val="16"/>
        </w:rPr>
        <w:t xml:space="preserve">available at: </w:t>
      </w:r>
      <w:hyperlink r:id="rId61" w:history="1">
        <w:r w:rsidRPr="00C44189">
          <w:rPr>
            <w:rStyle w:val="Collegamentoipertestuale"/>
            <w:rFonts w:cs="Arial"/>
            <w:szCs w:val="16"/>
          </w:rPr>
          <w:t>https://net.jogtar.hu/jogszabaly?docid=A2200027.TV&amp;searchUrl=/gyorskereso</w:t>
        </w:r>
      </w:hyperlink>
      <w:r w:rsidRPr="00C44189">
        <w:rPr>
          <w:rFonts w:cs="Arial"/>
          <w:szCs w:val="16"/>
        </w:rPr>
        <w:t xml:space="preserve"> </w:t>
      </w:r>
    </w:p>
  </w:footnote>
  <w:footnote w:id="147">
    <w:p w14:paraId="2B51AE19" w14:textId="4A01ED21" w:rsidR="005B7675" w:rsidRPr="00C44189" w:rsidRDefault="005B7675"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904490" w:rsidRPr="00C44189">
        <w:rPr>
          <w:rFonts w:cs="Arial"/>
          <w:szCs w:val="16"/>
        </w:rPr>
        <w:t xml:space="preserve">Contributions of Hungarian CSOs to the European Commission’s Rule of Law Report, January 2023, p 26 available at: </w:t>
      </w:r>
      <w:hyperlink r:id="rId62" w:history="1">
        <w:r w:rsidR="00904490" w:rsidRPr="00C44189">
          <w:rPr>
            <w:rStyle w:val="Collegamentoipertestuale"/>
            <w:rFonts w:cs="Arial"/>
            <w:szCs w:val="16"/>
          </w:rPr>
          <w:t>https://helsinki.hu/en/wp-content/uploads/sites/2/2023/01/HUN_CSO_contribution_EC_RoL_Report_2023.pdf</w:t>
        </w:r>
      </w:hyperlink>
      <w:r w:rsidR="00904490" w:rsidRPr="00C44189">
        <w:rPr>
          <w:rFonts w:cs="Arial"/>
          <w:szCs w:val="16"/>
        </w:rPr>
        <w:t xml:space="preserve"> </w:t>
      </w:r>
    </w:p>
  </w:footnote>
  <w:footnote w:id="148">
    <w:p w14:paraId="7B04DDB5" w14:textId="006B7267" w:rsidR="00F21859" w:rsidRPr="00C44189" w:rsidRDefault="00F21859"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00157813" w:rsidRPr="00C44189">
        <w:rPr>
          <w:rFonts w:cs="Arial"/>
          <w:szCs w:val="16"/>
        </w:rPr>
        <w:t xml:space="preserve">Contributions of Hungarian CSOs to the European Commission’s Rule of Law Report, January 2023, p 29 available at: </w:t>
      </w:r>
      <w:hyperlink r:id="rId63" w:history="1">
        <w:r w:rsidR="00157813" w:rsidRPr="00C44189">
          <w:rPr>
            <w:rStyle w:val="Collegamentoipertestuale"/>
            <w:rFonts w:cs="Arial"/>
            <w:szCs w:val="16"/>
          </w:rPr>
          <w:t>https://helsinki.hu/en/wp-content/uploads/sites/2/2023/01/HUN_CSO_contribution_EC_RoL_Report_2023.pdf</w:t>
        </w:r>
      </w:hyperlink>
    </w:p>
  </w:footnote>
  <w:footnote w:id="149">
    <w:p w14:paraId="29BDA90A" w14:textId="2756E6A4" w:rsidR="00230422" w:rsidRPr="00C44189" w:rsidRDefault="00230422"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Pr="00C44189">
        <w:rPr>
          <w:rFonts w:cs="Arial"/>
          <w:szCs w:val="16"/>
          <w:lang w:val="en-US"/>
        </w:rPr>
        <w:t>Ibid. P 31</w:t>
      </w:r>
    </w:p>
  </w:footnote>
  <w:footnote w:id="150">
    <w:p w14:paraId="240D73CA" w14:textId="4ED9D489" w:rsidR="00BF31BD" w:rsidRPr="00C44189" w:rsidRDefault="00BF31BD"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005B2FFB" w:rsidRPr="00C44189">
        <w:rPr>
          <w:rFonts w:cs="Arial"/>
          <w:szCs w:val="16"/>
          <w:lang w:val="en-US"/>
        </w:rPr>
        <w:t xml:space="preserve">Transparency International: Hungary, Letter to the European Commission on the highway concession case, </w:t>
      </w:r>
      <w:r w:rsidR="001560FF" w:rsidRPr="00C44189">
        <w:rPr>
          <w:rFonts w:cs="Arial"/>
          <w:szCs w:val="16"/>
          <w:lang w:val="en-US"/>
        </w:rPr>
        <w:t>7 Jul</w:t>
      </w:r>
      <w:r w:rsidR="00A704C6" w:rsidRPr="00C44189">
        <w:rPr>
          <w:rFonts w:cs="Arial"/>
          <w:szCs w:val="16"/>
          <w:lang w:val="en-US"/>
        </w:rPr>
        <w:t>y</w:t>
      </w:r>
      <w:r w:rsidR="001560FF" w:rsidRPr="00C44189">
        <w:rPr>
          <w:rFonts w:cs="Arial"/>
          <w:szCs w:val="16"/>
          <w:lang w:val="en-US"/>
        </w:rPr>
        <w:t xml:space="preserve"> 2021, available at: </w:t>
      </w:r>
      <w:hyperlink r:id="rId64" w:history="1">
        <w:r w:rsidR="003C5143" w:rsidRPr="00C44189">
          <w:rPr>
            <w:rStyle w:val="Collegamentoipertestuale"/>
            <w:rFonts w:cs="Arial"/>
            <w:szCs w:val="16"/>
            <w:lang w:val="en-US"/>
          </w:rPr>
          <w:t>https://transparency.hu/en/news/letter-to-the-european-commission-on-the-highway-concession-case/</w:t>
        </w:r>
      </w:hyperlink>
      <w:r w:rsidR="003C5143" w:rsidRPr="00C44189">
        <w:rPr>
          <w:rFonts w:cs="Arial"/>
          <w:szCs w:val="16"/>
          <w:lang w:val="en-US"/>
        </w:rPr>
        <w:t xml:space="preserve"> </w:t>
      </w:r>
    </w:p>
  </w:footnote>
  <w:footnote w:id="151">
    <w:p w14:paraId="20783240" w14:textId="30A4FAE8" w:rsidR="00F8568D" w:rsidRPr="00C44189" w:rsidRDefault="00F8568D"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00C55707" w:rsidRPr="00C44189">
        <w:rPr>
          <w:rFonts w:cs="Arial"/>
          <w:szCs w:val="16"/>
        </w:rPr>
        <w:t xml:space="preserve">Contributions of Hungarian CSOs to the European Commission’s Rule of Law Report, January 2023, p 34 available at: </w:t>
      </w:r>
      <w:hyperlink r:id="rId65" w:history="1">
        <w:r w:rsidR="00C55707" w:rsidRPr="00C44189">
          <w:rPr>
            <w:rStyle w:val="Collegamentoipertestuale"/>
            <w:rFonts w:cs="Arial"/>
            <w:szCs w:val="16"/>
          </w:rPr>
          <w:t>https://helsinki.hu/en/wp-content/uploads/sites/2/2023/01/HUN_CSO_contribution_EC_RoL_Report_2023.pdf</w:t>
        </w:r>
      </w:hyperlink>
    </w:p>
  </w:footnote>
  <w:footnote w:id="152">
    <w:p w14:paraId="0E30111D" w14:textId="77777777" w:rsidR="00C76E4D" w:rsidRPr="00C44189" w:rsidRDefault="00C76E4D"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Act XLIV of 2022 on the Directorate General for Auditing European Subsidies and amending certain laws adopted at the request of the European Commission </w:t>
      </w:r>
      <w:proofErr w:type="gramStart"/>
      <w:r w:rsidRPr="00C44189">
        <w:rPr>
          <w:rFonts w:cs="Arial"/>
          <w:szCs w:val="16"/>
        </w:rPr>
        <w:t>in order to</w:t>
      </w:r>
      <w:proofErr w:type="gramEnd"/>
      <w:r w:rsidRPr="00C44189">
        <w:rPr>
          <w:rFonts w:cs="Arial"/>
          <w:szCs w:val="16"/>
        </w:rPr>
        <w:t xml:space="preserve"> ensure the successful completion of the conditionality procedure (</w:t>
      </w:r>
      <w:r w:rsidRPr="00C44189">
        <w:rPr>
          <w:rFonts w:cs="Arial"/>
          <w:i/>
          <w:iCs/>
          <w:szCs w:val="16"/>
        </w:rPr>
        <w:t xml:space="preserve">2022. </w:t>
      </w:r>
      <w:proofErr w:type="spellStart"/>
      <w:r w:rsidRPr="00C44189">
        <w:rPr>
          <w:rFonts w:cs="Arial"/>
          <w:i/>
          <w:iCs/>
          <w:szCs w:val="16"/>
        </w:rPr>
        <w:t>évi</w:t>
      </w:r>
      <w:proofErr w:type="spellEnd"/>
      <w:r w:rsidRPr="00C44189">
        <w:rPr>
          <w:rFonts w:cs="Arial"/>
          <w:i/>
          <w:iCs/>
          <w:szCs w:val="16"/>
        </w:rPr>
        <w:t xml:space="preserve"> XLIV. </w:t>
      </w:r>
      <w:proofErr w:type="spellStart"/>
      <w:r w:rsidRPr="00C44189">
        <w:rPr>
          <w:rFonts w:cs="Arial"/>
          <w:i/>
          <w:iCs/>
          <w:szCs w:val="16"/>
        </w:rPr>
        <w:t>Törvény</w:t>
      </w:r>
      <w:proofErr w:type="spellEnd"/>
      <w:r w:rsidRPr="00C44189">
        <w:rPr>
          <w:rFonts w:cs="Arial"/>
          <w:i/>
          <w:iCs/>
          <w:szCs w:val="16"/>
        </w:rPr>
        <w:t xml:space="preserve"> </w:t>
      </w:r>
      <w:proofErr w:type="spellStart"/>
      <w:r w:rsidRPr="00C44189">
        <w:rPr>
          <w:rFonts w:cs="Arial"/>
          <w:i/>
          <w:iCs/>
          <w:szCs w:val="16"/>
        </w:rPr>
        <w:t>az</w:t>
      </w:r>
      <w:proofErr w:type="spellEnd"/>
      <w:r w:rsidRPr="00C44189">
        <w:rPr>
          <w:rFonts w:cs="Arial"/>
          <w:i/>
          <w:iCs/>
          <w:szCs w:val="16"/>
        </w:rPr>
        <w:t xml:space="preserve"> </w:t>
      </w:r>
      <w:proofErr w:type="spellStart"/>
      <w:r w:rsidRPr="00C44189">
        <w:rPr>
          <w:rFonts w:cs="Arial"/>
          <w:i/>
          <w:iCs/>
          <w:szCs w:val="16"/>
        </w:rPr>
        <w:t>Európai</w:t>
      </w:r>
      <w:proofErr w:type="spellEnd"/>
      <w:r w:rsidRPr="00C44189">
        <w:rPr>
          <w:rFonts w:cs="Arial"/>
          <w:i/>
          <w:iCs/>
          <w:szCs w:val="16"/>
        </w:rPr>
        <w:t xml:space="preserve"> </w:t>
      </w:r>
      <w:proofErr w:type="spellStart"/>
      <w:r w:rsidRPr="00C44189">
        <w:rPr>
          <w:rFonts w:cs="Arial"/>
          <w:i/>
          <w:iCs/>
          <w:szCs w:val="16"/>
        </w:rPr>
        <w:t>Támogatásokat</w:t>
      </w:r>
      <w:proofErr w:type="spellEnd"/>
      <w:r w:rsidRPr="00C44189">
        <w:rPr>
          <w:rFonts w:cs="Arial"/>
          <w:i/>
          <w:iCs/>
          <w:szCs w:val="16"/>
        </w:rPr>
        <w:t xml:space="preserve"> </w:t>
      </w:r>
      <w:proofErr w:type="spellStart"/>
      <w:r w:rsidRPr="00C44189">
        <w:rPr>
          <w:rFonts w:cs="Arial"/>
          <w:i/>
          <w:iCs/>
          <w:szCs w:val="16"/>
        </w:rPr>
        <w:t>Auditáló</w:t>
      </w:r>
      <w:proofErr w:type="spellEnd"/>
      <w:r w:rsidRPr="00C44189">
        <w:rPr>
          <w:rFonts w:cs="Arial"/>
          <w:i/>
          <w:iCs/>
          <w:szCs w:val="16"/>
        </w:rPr>
        <w:t xml:space="preserve"> </w:t>
      </w:r>
      <w:proofErr w:type="spellStart"/>
      <w:r w:rsidRPr="00C44189">
        <w:rPr>
          <w:rFonts w:cs="Arial"/>
          <w:i/>
          <w:iCs/>
          <w:szCs w:val="16"/>
        </w:rPr>
        <w:t>Főigazgatóságról</w:t>
      </w:r>
      <w:proofErr w:type="spellEnd"/>
      <w:r w:rsidRPr="00C44189">
        <w:rPr>
          <w:rFonts w:cs="Arial"/>
          <w:i/>
          <w:iCs/>
          <w:szCs w:val="16"/>
        </w:rPr>
        <w:t xml:space="preserve"> </w:t>
      </w:r>
      <w:proofErr w:type="spellStart"/>
      <w:r w:rsidRPr="00C44189">
        <w:rPr>
          <w:rFonts w:cs="Arial"/>
          <w:i/>
          <w:iCs/>
          <w:szCs w:val="16"/>
        </w:rPr>
        <w:t>és</w:t>
      </w:r>
      <w:proofErr w:type="spellEnd"/>
      <w:r w:rsidRPr="00C44189">
        <w:rPr>
          <w:rFonts w:cs="Arial"/>
          <w:i/>
          <w:iCs/>
          <w:szCs w:val="16"/>
        </w:rPr>
        <w:t xml:space="preserve"> a </w:t>
      </w:r>
      <w:proofErr w:type="spellStart"/>
      <w:r w:rsidRPr="00C44189">
        <w:rPr>
          <w:rFonts w:cs="Arial"/>
          <w:i/>
          <w:iCs/>
          <w:szCs w:val="16"/>
        </w:rPr>
        <w:t>kondicionalitási</w:t>
      </w:r>
      <w:proofErr w:type="spellEnd"/>
      <w:r w:rsidRPr="00C44189">
        <w:rPr>
          <w:rFonts w:cs="Arial"/>
          <w:i/>
          <w:iCs/>
          <w:szCs w:val="16"/>
        </w:rPr>
        <w:t xml:space="preserve"> </w:t>
      </w:r>
      <w:proofErr w:type="spellStart"/>
      <w:r w:rsidRPr="00C44189">
        <w:rPr>
          <w:rFonts w:cs="Arial"/>
          <w:i/>
          <w:iCs/>
          <w:szCs w:val="16"/>
        </w:rPr>
        <w:t>eljárás</w:t>
      </w:r>
      <w:proofErr w:type="spellEnd"/>
      <w:r w:rsidRPr="00C44189">
        <w:rPr>
          <w:rFonts w:cs="Arial"/>
          <w:i/>
          <w:iCs/>
          <w:szCs w:val="16"/>
        </w:rPr>
        <w:t xml:space="preserve"> </w:t>
      </w:r>
      <w:proofErr w:type="spellStart"/>
      <w:r w:rsidRPr="00C44189">
        <w:rPr>
          <w:rFonts w:cs="Arial"/>
          <w:i/>
          <w:iCs/>
          <w:szCs w:val="16"/>
        </w:rPr>
        <w:t>eredményes</w:t>
      </w:r>
      <w:proofErr w:type="spellEnd"/>
      <w:r w:rsidRPr="00C44189">
        <w:rPr>
          <w:rFonts w:cs="Arial"/>
          <w:i/>
          <w:iCs/>
          <w:szCs w:val="16"/>
        </w:rPr>
        <w:t xml:space="preserve"> </w:t>
      </w:r>
      <w:proofErr w:type="spellStart"/>
      <w:r w:rsidRPr="00C44189">
        <w:rPr>
          <w:rFonts w:cs="Arial"/>
          <w:i/>
          <w:iCs/>
          <w:szCs w:val="16"/>
        </w:rPr>
        <w:t>lezárása</w:t>
      </w:r>
      <w:proofErr w:type="spellEnd"/>
      <w:r w:rsidRPr="00C44189">
        <w:rPr>
          <w:rFonts w:cs="Arial"/>
          <w:i/>
          <w:iCs/>
          <w:szCs w:val="16"/>
        </w:rPr>
        <w:t xml:space="preserve"> </w:t>
      </w:r>
      <w:proofErr w:type="spellStart"/>
      <w:r w:rsidRPr="00C44189">
        <w:rPr>
          <w:rFonts w:cs="Arial"/>
          <w:i/>
          <w:iCs/>
          <w:szCs w:val="16"/>
        </w:rPr>
        <w:t>érdekében</w:t>
      </w:r>
      <w:proofErr w:type="spellEnd"/>
      <w:r w:rsidRPr="00C44189">
        <w:rPr>
          <w:rFonts w:cs="Arial"/>
          <w:i/>
          <w:iCs/>
          <w:szCs w:val="16"/>
        </w:rPr>
        <w:t xml:space="preserve"> </w:t>
      </w:r>
      <w:proofErr w:type="spellStart"/>
      <w:r w:rsidRPr="00C44189">
        <w:rPr>
          <w:rFonts w:cs="Arial"/>
          <w:i/>
          <w:iCs/>
          <w:szCs w:val="16"/>
        </w:rPr>
        <w:t>az</w:t>
      </w:r>
      <w:proofErr w:type="spellEnd"/>
      <w:r w:rsidRPr="00C44189">
        <w:rPr>
          <w:rFonts w:cs="Arial"/>
          <w:i/>
          <w:iCs/>
          <w:szCs w:val="16"/>
        </w:rPr>
        <w:t xml:space="preserve"> </w:t>
      </w:r>
      <w:proofErr w:type="spellStart"/>
      <w:r w:rsidRPr="00C44189">
        <w:rPr>
          <w:rFonts w:cs="Arial"/>
          <w:i/>
          <w:iCs/>
          <w:szCs w:val="16"/>
        </w:rPr>
        <w:t>Európai</w:t>
      </w:r>
      <w:proofErr w:type="spellEnd"/>
      <w:r w:rsidRPr="00C44189">
        <w:rPr>
          <w:rFonts w:cs="Arial"/>
          <w:i/>
          <w:iCs/>
          <w:szCs w:val="16"/>
        </w:rPr>
        <w:t xml:space="preserve"> </w:t>
      </w:r>
      <w:proofErr w:type="spellStart"/>
      <w:r w:rsidRPr="00C44189">
        <w:rPr>
          <w:rFonts w:cs="Arial"/>
          <w:i/>
          <w:iCs/>
          <w:szCs w:val="16"/>
        </w:rPr>
        <w:t>Bizottság</w:t>
      </w:r>
      <w:proofErr w:type="spellEnd"/>
      <w:r w:rsidRPr="00C44189">
        <w:rPr>
          <w:rFonts w:cs="Arial"/>
          <w:i/>
          <w:iCs/>
          <w:szCs w:val="16"/>
        </w:rPr>
        <w:t xml:space="preserve"> </w:t>
      </w:r>
      <w:proofErr w:type="spellStart"/>
      <w:r w:rsidRPr="00C44189">
        <w:rPr>
          <w:rFonts w:cs="Arial"/>
          <w:i/>
          <w:iCs/>
          <w:szCs w:val="16"/>
        </w:rPr>
        <w:t>kérésére</w:t>
      </w:r>
      <w:proofErr w:type="spellEnd"/>
      <w:r w:rsidRPr="00C44189">
        <w:rPr>
          <w:rFonts w:cs="Arial"/>
          <w:i/>
          <w:iCs/>
          <w:szCs w:val="16"/>
        </w:rPr>
        <w:t xml:space="preserve"> </w:t>
      </w:r>
      <w:proofErr w:type="spellStart"/>
      <w:r w:rsidRPr="00C44189">
        <w:rPr>
          <w:rFonts w:cs="Arial"/>
          <w:i/>
          <w:iCs/>
          <w:szCs w:val="16"/>
        </w:rPr>
        <w:t>elfogadott</w:t>
      </w:r>
      <w:proofErr w:type="spellEnd"/>
      <w:r w:rsidRPr="00C44189">
        <w:rPr>
          <w:rFonts w:cs="Arial"/>
          <w:i/>
          <w:iCs/>
          <w:szCs w:val="16"/>
        </w:rPr>
        <w:t xml:space="preserve"> </w:t>
      </w:r>
      <w:proofErr w:type="spellStart"/>
      <w:r w:rsidRPr="00C44189">
        <w:rPr>
          <w:rFonts w:cs="Arial"/>
          <w:i/>
          <w:iCs/>
          <w:szCs w:val="16"/>
        </w:rPr>
        <w:t>egyes</w:t>
      </w:r>
      <w:proofErr w:type="spellEnd"/>
      <w:r w:rsidRPr="00C44189">
        <w:rPr>
          <w:rFonts w:cs="Arial"/>
          <w:i/>
          <w:iCs/>
          <w:szCs w:val="16"/>
        </w:rPr>
        <w:t xml:space="preserve"> </w:t>
      </w:r>
      <w:proofErr w:type="spellStart"/>
      <w:r w:rsidRPr="00C44189">
        <w:rPr>
          <w:rFonts w:cs="Arial"/>
          <w:i/>
          <w:iCs/>
          <w:szCs w:val="16"/>
        </w:rPr>
        <w:t>törvények</w:t>
      </w:r>
      <w:proofErr w:type="spellEnd"/>
      <w:r w:rsidRPr="00C44189">
        <w:rPr>
          <w:rFonts w:cs="Arial"/>
          <w:i/>
          <w:iCs/>
          <w:szCs w:val="16"/>
        </w:rPr>
        <w:t xml:space="preserve"> </w:t>
      </w:r>
      <w:proofErr w:type="spellStart"/>
      <w:r w:rsidRPr="00C44189">
        <w:rPr>
          <w:rFonts w:cs="Arial"/>
          <w:i/>
          <w:iCs/>
          <w:szCs w:val="16"/>
        </w:rPr>
        <w:t>módosításáról</w:t>
      </w:r>
      <w:proofErr w:type="spellEnd"/>
      <w:r w:rsidRPr="00C44189">
        <w:rPr>
          <w:rFonts w:cs="Arial"/>
          <w:szCs w:val="16"/>
        </w:rPr>
        <w:t>)</w:t>
      </w:r>
    </w:p>
  </w:footnote>
  <w:footnote w:id="153">
    <w:p w14:paraId="69F0ECD6" w14:textId="0926CD10" w:rsidR="00A704C6" w:rsidRPr="00C44189" w:rsidRDefault="00A704C6"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00386BA3" w:rsidRPr="00C44189">
        <w:rPr>
          <w:rFonts w:cs="Arial"/>
          <w:szCs w:val="16"/>
        </w:rPr>
        <w:t xml:space="preserve">Contributions of Hungarian CSOs to the European Commission’s Rule of Law Report, January 2023, p 36 available at: </w:t>
      </w:r>
      <w:hyperlink r:id="rId66" w:history="1">
        <w:r w:rsidR="00386BA3" w:rsidRPr="00C44189">
          <w:rPr>
            <w:rStyle w:val="Collegamentoipertestuale"/>
            <w:rFonts w:cs="Arial"/>
            <w:szCs w:val="16"/>
          </w:rPr>
          <w:t>https://helsinki.hu/en/wp-content/uploads/sites/2/2023/01/HUN_CSO_contribution_EC_RoL_Report_2023.pdf</w:t>
        </w:r>
      </w:hyperlink>
    </w:p>
  </w:footnote>
  <w:footnote w:id="154">
    <w:p w14:paraId="170FF9DC" w14:textId="77777777" w:rsidR="00F410FA" w:rsidRPr="00C44189" w:rsidRDefault="00F410FA"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Contributions of Hungarian CSOs to the European Commission’s Rule of Law Report, January 2023, p 36 available at: </w:t>
      </w:r>
      <w:hyperlink r:id="rId67" w:history="1">
        <w:r w:rsidRPr="00C44189">
          <w:rPr>
            <w:rStyle w:val="Collegamentoipertestuale"/>
            <w:rFonts w:cs="Arial"/>
            <w:szCs w:val="16"/>
          </w:rPr>
          <w:t>https://helsinki.hu/en/wp-content/uploads/sites/2/2023/01/HUN_CSO_contribution_EC_RoL_Report_2023.pdf</w:t>
        </w:r>
      </w:hyperlink>
    </w:p>
  </w:footnote>
  <w:footnote w:id="155">
    <w:p w14:paraId="571B4146" w14:textId="7E58D80F" w:rsidR="000F0253" w:rsidRPr="00C44189" w:rsidRDefault="000F0253"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004A17" w:rsidRPr="00C44189">
        <w:rPr>
          <w:rFonts w:cs="Arial"/>
          <w:szCs w:val="16"/>
        </w:rPr>
        <w:t xml:space="preserve">CLXXXV of 2010 law on media services and mass communication </w:t>
      </w:r>
      <w:r w:rsidR="002C4AB6" w:rsidRPr="00C44189">
        <w:rPr>
          <w:rFonts w:cs="Arial"/>
          <w:szCs w:val="16"/>
        </w:rPr>
        <w:t>(</w:t>
      </w:r>
      <w:r w:rsidR="002C4AB6" w:rsidRPr="00C44189">
        <w:rPr>
          <w:rFonts w:cs="Arial"/>
          <w:i/>
          <w:iCs/>
          <w:szCs w:val="16"/>
        </w:rPr>
        <w:t xml:space="preserve">2010. </w:t>
      </w:r>
      <w:proofErr w:type="spellStart"/>
      <w:r w:rsidR="002C4AB6" w:rsidRPr="00C44189">
        <w:rPr>
          <w:rFonts w:cs="Arial"/>
          <w:i/>
          <w:iCs/>
          <w:szCs w:val="16"/>
        </w:rPr>
        <w:t>évi</w:t>
      </w:r>
      <w:proofErr w:type="spellEnd"/>
      <w:r w:rsidR="002C4AB6" w:rsidRPr="00C44189">
        <w:rPr>
          <w:rFonts w:cs="Arial"/>
          <w:i/>
          <w:iCs/>
          <w:szCs w:val="16"/>
        </w:rPr>
        <w:t xml:space="preserve"> CLXXXV. </w:t>
      </w:r>
      <w:proofErr w:type="spellStart"/>
      <w:r w:rsidR="002C4AB6" w:rsidRPr="00C44189">
        <w:rPr>
          <w:rFonts w:cs="Arial"/>
          <w:i/>
          <w:iCs/>
          <w:szCs w:val="16"/>
        </w:rPr>
        <w:t>Törvény</w:t>
      </w:r>
      <w:proofErr w:type="spellEnd"/>
      <w:r w:rsidR="002C4AB6" w:rsidRPr="00C44189">
        <w:rPr>
          <w:rFonts w:cs="Arial"/>
          <w:i/>
          <w:iCs/>
          <w:szCs w:val="16"/>
        </w:rPr>
        <w:t xml:space="preserve"> a </w:t>
      </w:r>
      <w:proofErr w:type="spellStart"/>
      <w:r w:rsidR="002C4AB6" w:rsidRPr="00C44189">
        <w:rPr>
          <w:rFonts w:cs="Arial"/>
          <w:i/>
          <w:iCs/>
          <w:szCs w:val="16"/>
        </w:rPr>
        <w:t>médiaszolgáltatásokról</w:t>
      </w:r>
      <w:proofErr w:type="spellEnd"/>
      <w:r w:rsidR="002C4AB6" w:rsidRPr="00C44189">
        <w:rPr>
          <w:rFonts w:cs="Arial"/>
          <w:i/>
          <w:iCs/>
          <w:szCs w:val="16"/>
        </w:rPr>
        <w:t xml:space="preserve"> </w:t>
      </w:r>
      <w:proofErr w:type="spellStart"/>
      <w:r w:rsidR="002C4AB6" w:rsidRPr="00C44189">
        <w:rPr>
          <w:rFonts w:cs="Arial"/>
          <w:i/>
          <w:iCs/>
          <w:szCs w:val="16"/>
        </w:rPr>
        <w:t>és</w:t>
      </w:r>
      <w:proofErr w:type="spellEnd"/>
      <w:r w:rsidR="002C4AB6" w:rsidRPr="00C44189">
        <w:rPr>
          <w:rFonts w:cs="Arial"/>
          <w:i/>
          <w:iCs/>
          <w:szCs w:val="16"/>
        </w:rPr>
        <w:t xml:space="preserve"> a </w:t>
      </w:r>
      <w:proofErr w:type="spellStart"/>
      <w:r w:rsidR="002C4AB6" w:rsidRPr="00C44189">
        <w:rPr>
          <w:rFonts w:cs="Arial"/>
          <w:i/>
          <w:iCs/>
          <w:szCs w:val="16"/>
        </w:rPr>
        <w:t>tömegkommunikációról</w:t>
      </w:r>
      <w:proofErr w:type="spellEnd"/>
      <w:r w:rsidR="002C4AB6" w:rsidRPr="00C44189">
        <w:rPr>
          <w:rFonts w:cs="Arial"/>
          <w:szCs w:val="16"/>
        </w:rPr>
        <w:t>)</w:t>
      </w:r>
      <w:r w:rsidR="00004A17" w:rsidRPr="00C44189">
        <w:rPr>
          <w:rFonts w:cs="Arial"/>
          <w:szCs w:val="16"/>
        </w:rPr>
        <w:t xml:space="preserve">, available at: </w:t>
      </w:r>
      <w:hyperlink r:id="rId68" w:history="1">
        <w:r w:rsidR="00004A17" w:rsidRPr="00C44189">
          <w:rPr>
            <w:rStyle w:val="Collegamentoipertestuale"/>
            <w:rFonts w:cs="Arial"/>
            <w:szCs w:val="16"/>
          </w:rPr>
          <w:t>https://net.jogtar.hu/jogszabaly?docid=a1000185.tv</w:t>
        </w:r>
      </w:hyperlink>
      <w:r w:rsidR="00004A17" w:rsidRPr="00C44189">
        <w:rPr>
          <w:rFonts w:cs="Arial"/>
          <w:szCs w:val="16"/>
        </w:rPr>
        <w:t xml:space="preserve"> </w:t>
      </w:r>
    </w:p>
  </w:footnote>
  <w:footnote w:id="156">
    <w:p w14:paraId="7F25F9E3" w14:textId="3AC10616" w:rsidR="00B46BEB" w:rsidRPr="00C44189" w:rsidRDefault="00B46BEB"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OSCE Representative, Revised Hungarian media legislation continues to severely limit media pluralism, says OSCE media freedom representative, 25 May 2012, available at: </w:t>
      </w:r>
      <w:hyperlink r:id="rId69" w:history="1">
        <w:r w:rsidRPr="00C44189">
          <w:rPr>
            <w:rStyle w:val="Collegamentoipertestuale"/>
            <w:rFonts w:cs="Arial"/>
            <w:szCs w:val="16"/>
          </w:rPr>
          <w:t>https://www.osce.org/fom/90823</w:t>
        </w:r>
      </w:hyperlink>
      <w:r w:rsidRPr="00C44189">
        <w:rPr>
          <w:rFonts w:cs="Arial"/>
          <w:szCs w:val="16"/>
        </w:rPr>
        <w:t xml:space="preserve"> </w:t>
      </w:r>
    </w:p>
  </w:footnote>
  <w:footnote w:id="157">
    <w:p w14:paraId="4A8EEFFD" w14:textId="793AD7B6" w:rsidR="00D546A1" w:rsidRPr="00C44189" w:rsidRDefault="00D546A1"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w:t>
      </w:r>
      <w:r w:rsidR="00286A2F" w:rsidRPr="00C44189">
        <w:rPr>
          <w:rFonts w:cs="Arial"/>
          <w:szCs w:val="16"/>
        </w:rPr>
        <w:t>ODIHR Election Observation Mission, Parliamentary Elections and Referendum, Final Report Hungary, 3 April 2022, p 23</w:t>
      </w:r>
    </w:p>
  </w:footnote>
  <w:footnote w:id="158">
    <w:p w14:paraId="4B6041BC" w14:textId="7F4C0108" w:rsidR="0092407F" w:rsidRPr="00C44189" w:rsidRDefault="0092407F"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Contributions of Hungarian CSOs to the European Commission’s Rule of Law Report, January 2023, p 44 available at: </w:t>
      </w:r>
      <w:hyperlink r:id="rId70" w:history="1">
        <w:r w:rsidRPr="00C44189">
          <w:rPr>
            <w:rStyle w:val="Collegamentoipertestuale"/>
            <w:rFonts w:cs="Arial"/>
            <w:szCs w:val="16"/>
          </w:rPr>
          <w:t>https://helsinki.hu/en/wp-content/uploads/sites/2/2023/01/HUN_CSO_contribution_EC_RoL_Report_2023.pdf</w:t>
        </w:r>
      </w:hyperlink>
    </w:p>
  </w:footnote>
  <w:footnote w:id="159">
    <w:p w14:paraId="1BC16805" w14:textId="21227927" w:rsidR="00D23420" w:rsidRPr="00C44189" w:rsidRDefault="00D23420"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00A75BB4" w:rsidRPr="00C44189">
        <w:rPr>
          <w:rFonts w:cs="Arial"/>
          <w:szCs w:val="16"/>
        </w:rPr>
        <w:t>ODIHR Election Observation Mission, Parliamentary Elections and Referendum, Final Report Hungary, 3 April 2022, p 28</w:t>
      </w:r>
    </w:p>
  </w:footnote>
  <w:footnote w:id="160">
    <w:p w14:paraId="622D8C62" w14:textId="060B74E5" w:rsidR="004E65E7" w:rsidRPr="00C44189" w:rsidRDefault="004E65E7"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0027499E" w:rsidRPr="00C44189">
        <w:rPr>
          <w:rFonts w:cs="Arial"/>
          <w:szCs w:val="16"/>
        </w:rPr>
        <w:t xml:space="preserve">Media1, </w:t>
      </w:r>
      <w:r w:rsidR="00DF1704" w:rsidRPr="00C44189">
        <w:rPr>
          <w:rFonts w:cs="Arial"/>
          <w:szCs w:val="16"/>
        </w:rPr>
        <w:t>The Media Council criticises the opposition for criticising the public media for spreading Russian propaganda and Dániel Papp, the CEO of MTVA (</w:t>
      </w:r>
      <w:proofErr w:type="spellStart"/>
      <w:r w:rsidR="0027499E" w:rsidRPr="00C44189">
        <w:rPr>
          <w:rFonts w:cs="Arial"/>
          <w:szCs w:val="16"/>
        </w:rPr>
        <w:t>Bírálja</w:t>
      </w:r>
      <w:proofErr w:type="spellEnd"/>
      <w:r w:rsidR="0027499E" w:rsidRPr="00C44189">
        <w:rPr>
          <w:rFonts w:cs="Arial"/>
          <w:szCs w:val="16"/>
        </w:rPr>
        <w:t xml:space="preserve"> a </w:t>
      </w:r>
      <w:proofErr w:type="spellStart"/>
      <w:r w:rsidR="0027499E" w:rsidRPr="00C44189">
        <w:rPr>
          <w:rFonts w:cs="Arial"/>
          <w:szCs w:val="16"/>
        </w:rPr>
        <w:t>Médiatanács</w:t>
      </w:r>
      <w:proofErr w:type="spellEnd"/>
      <w:r w:rsidR="0027499E" w:rsidRPr="00C44189">
        <w:rPr>
          <w:rFonts w:cs="Arial"/>
          <w:szCs w:val="16"/>
        </w:rPr>
        <w:t xml:space="preserve"> </w:t>
      </w:r>
      <w:proofErr w:type="spellStart"/>
      <w:r w:rsidR="0027499E" w:rsidRPr="00C44189">
        <w:rPr>
          <w:rFonts w:cs="Arial"/>
          <w:szCs w:val="16"/>
        </w:rPr>
        <w:t>az</w:t>
      </w:r>
      <w:proofErr w:type="spellEnd"/>
      <w:r w:rsidR="0027499E" w:rsidRPr="00C44189">
        <w:rPr>
          <w:rFonts w:cs="Arial"/>
          <w:szCs w:val="16"/>
        </w:rPr>
        <w:t xml:space="preserve"> </w:t>
      </w:r>
      <w:proofErr w:type="spellStart"/>
      <w:r w:rsidR="0027499E" w:rsidRPr="00C44189">
        <w:rPr>
          <w:rFonts w:cs="Arial"/>
          <w:szCs w:val="16"/>
        </w:rPr>
        <w:t>ellenzéket</w:t>
      </w:r>
      <w:proofErr w:type="spellEnd"/>
      <w:r w:rsidR="0027499E" w:rsidRPr="00C44189">
        <w:rPr>
          <w:rFonts w:cs="Arial"/>
          <w:szCs w:val="16"/>
        </w:rPr>
        <w:t xml:space="preserve">, </w:t>
      </w:r>
      <w:proofErr w:type="spellStart"/>
      <w:r w:rsidR="0027499E" w:rsidRPr="00C44189">
        <w:rPr>
          <w:rFonts w:cs="Arial"/>
          <w:szCs w:val="16"/>
        </w:rPr>
        <w:t>amiért</w:t>
      </w:r>
      <w:proofErr w:type="spellEnd"/>
      <w:r w:rsidR="0027499E" w:rsidRPr="00C44189">
        <w:rPr>
          <w:rFonts w:cs="Arial"/>
          <w:szCs w:val="16"/>
        </w:rPr>
        <w:t xml:space="preserve"> </w:t>
      </w:r>
      <w:proofErr w:type="spellStart"/>
      <w:r w:rsidR="0027499E" w:rsidRPr="00C44189">
        <w:rPr>
          <w:rFonts w:cs="Arial"/>
          <w:szCs w:val="16"/>
        </w:rPr>
        <w:t>kritizálta</w:t>
      </w:r>
      <w:proofErr w:type="spellEnd"/>
      <w:r w:rsidR="0027499E" w:rsidRPr="00C44189">
        <w:rPr>
          <w:rFonts w:cs="Arial"/>
          <w:szCs w:val="16"/>
        </w:rPr>
        <w:t xml:space="preserve"> </w:t>
      </w:r>
      <w:proofErr w:type="spellStart"/>
      <w:r w:rsidR="0027499E" w:rsidRPr="00C44189">
        <w:rPr>
          <w:rFonts w:cs="Arial"/>
          <w:szCs w:val="16"/>
        </w:rPr>
        <w:t>az</w:t>
      </w:r>
      <w:proofErr w:type="spellEnd"/>
      <w:r w:rsidR="0027499E" w:rsidRPr="00C44189">
        <w:rPr>
          <w:rFonts w:cs="Arial"/>
          <w:szCs w:val="16"/>
        </w:rPr>
        <w:t xml:space="preserve"> </w:t>
      </w:r>
      <w:proofErr w:type="spellStart"/>
      <w:r w:rsidR="0027499E" w:rsidRPr="00C44189">
        <w:rPr>
          <w:rFonts w:cs="Arial"/>
          <w:szCs w:val="16"/>
        </w:rPr>
        <w:t>orosz</w:t>
      </w:r>
      <w:proofErr w:type="spellEnd"/>
      <w:r w:rsidR="0027499E" w:rsidRPr="00C44189">
        <w:rPr>
          <w:rFonts w:cs="Arial"/>
          <w:szCs w:val="16"/>
        </w:rPr>
        <w:t xml:space="preserve"> </w:t>
      </w:r>
      <w:proofErr w:type="spellStart"/>
      <w:r w:rsidR="0027499E" w:rsidRPr="00C44189">
        <w:rPr>
          <w:rFonts w:cs="Arial"/>
          <w:szCs w:val="16"/>
        </w:rPr>
        <w:t>propagandát</w:t>
      </w:r>
      <w:proofErr w:type="spellEnd"/>
      <w:r w:rsidR="0027499E" w:rsidRPr="00C44189">
        <w:rPr>
          <w:rFonts w:cs="Arial"/>
          <w:szCs w:val="16"/>
        </w:rPr>
        <w:t xml:space="preserve"> </w:t>
      </w:r>
      <w:proofErr w:type="spellStart"/>
      <w:r w:rsidR="0027499E" w:rsidRPr="00C44189">
        <w:rPr>
          <w:rFonts w:cs="Arial"/>
          <w:szCs w:val="16"/>
        </w:rPr>
        <w:t>terjesztő</w:t>
      </w:r>
      <w:proofErr w:type="spellEnd"/>
      <w:r w:rsidR="0027499E" w:rsidRPr="00C44189">
        <w:rPr>
          <w:rFonts w:cs="Arial"/>
          <w:szCs w:val="16"/>
        </w:rPr>
        <w:t xml:space="preserve"> </w:t>
      </w:r>
      <w:proofErr w:type="spellStart"/>
      <w:r w:rsidR="0027499E" w:rsidRPr="00C44189">
        <w:rPr>
          <w:rFonts w:cs="Arial"/>
          <w:szCs w:val="16"/>
        </w:rPr>
        <w:t>közmédiát</w:t>
      </w:r>
      <w:proofErr w:type="spellEnd"/>
      <w:r w:rsidR="0027499E" w:rsidRPr="00C44189">
        <w:rPr>
          <w:rFonts w:cs="Arial"/>
          <w:szCs w:val="16"/>
        </w:rPr>
        <w:t xml:space="preserve"> </w:t>
      </w:r>
      <w:proofErr w:type="spellStart"/>
      <w:r w:rsidR="0027499E" w:rsidRPr="00C44189">
        <w:rPr>
          <w:rFonts w:cs="Arial"/>
          <w:szCs w:val="16"/>
        </w:rPr>
        <w:t>és</w:t>
      </w:r>
      <w:proofErr w:type="spellEnd"/>
      <w:r w:rsidR="0027499E" w:rsidRPr="00C44189">
        <w:rPr>
          <w:rFonts w:cs="Arial"/>
          <w:szCs w:val="16"/>
        </w:rPr>
        <w:t xml:space="preserve"> Papp </w:t>
      </w:r>
      <w:proofErr w:type="spellStart"/>
      <w:r w:rsidR="0027499E" w:rsidRPr="00C44189">
        <w:rPr>
          <w:rFonts w:cs="Arial"/>
          <w:szCs w:val="16"/>
        </w:rPr>
        <w:t>Dánielt</w:t>
      </w:r>
      <w:proofErr w:type="spellEnd"/>
      <w:r w:rsidR="0027499E" w:rsidRPr="00C44189">
        <w:rPr>
          <w:rFonts w:cs="Arial"/>
          <w:szCs w:val="16"/>
        </w:rPr>
        <w:t xml:space="preserve">, </w:t>
      </w:r>
      <w:proofErr w:type="spellStart"/>
      <w:r w:rsidR="0027499E" w:rsidRPr="00C44189">
        <w:rPr>
          <w:rFonts w:cs="Arial"/>
          <w:szCs w:val="16"/>
        </w:rPr>
        <w:t>az</w:t>
      </w:r>
      <w:proofErr w:type="spellEnd"/>
      <w:r w:rsidR="0027499E" w:rsidRPr="00C44189">
        <w:rPr>
          <w:rFonts w:cs="Arial"/>
          <w:szCs w:val="16"/>
        </w:rPr>
        <w:t xml:space="preserve"> MTVA </w:t>
      </w:r>
      <w:proofErr w:type="spellStart"/>
      <w:r w:rsidR="0027499E" w:rsidRPr="00C44189">
        <w:rPr>
          <w:rFonts w:cs="Arial"/>
          <w:szCs w:val="16"/>
        </w:rPr>
        <w:t>vezérigazgatóját</w:t>
      </w:r>
      <w:proofErr w:type="spellEnd"/>
      <w:r w:rsidR="00DF1704" w:rsidRPr="00C44189">
        <w:rPr>
          <w:rFonts w:cs="Arial"/>
          <w:szCs w:val="16"/>
        </w:rPr>
        <w:t xml:space="preserve">), 1 March 2022, available at: </w:t>
      </w:r>
      <w:hyperlink r:id="rId71" w:history="1">
        <w:r w:rsidR="00DF1704" w:rsidRPr="00C44189">
          <w:rPr>
            <w:rStyle w:val="Collegamentoipertestuale"/>
            <w:rFonts w:cs="Arial"/>
            <w:szCs w:val="16"/>
          </w:rPr>
          <w:t>https://media1.hu/2022/03/01/biralja-a-mediatanacs-az-ellenzeket-amiert-kritizalta-az-orosz-propagandat-terjeszto-kozmediat-es-papp-danielt-az-mtva-vezerigazgatojat/</w:t>
        </w:r>
      </w:hyperlink>
      <w:r w:rsidR="00DF1704" w:rsidRPr="00C44189">
        <w:rPr>
          <w:rFonts w:cs="Arial"/>
          <w:szCs w:val="16"/>
        </w:rPr>
        <w:t xml:space="preserve"> </w:t>
      </w:r>
    </w:p>
  </w:footnote>
  <w:footnote w:id="161">
    <w:p w14:paraId="20C858DD" w14:textId="21859E58" w:rsidR="00042E9C" w:rsidRPr="00C44189" w:rsidRDefault="00042E9C"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00CC0F2C" w:rsidRPr="00C44189">
        <w:rPr>
          <w:rFonts w:cs="Arial"/>
          <w:szCs w:val="16"/>
        </w:rPr>
        <w:t xml:space="preserve">Contributions of Hungarian CSOs to the European Commission’s Rule of Law Report, January 2023, p 51 available at: </w:t>
      </w:r>
      <w:hyperlink r:id="rId72" w:history="1">
        <w:r w:rsidR="00CC0F2C" w:rsidRPr="00C44189">
          <w:rPr>
            <w:rStyle w:val="Collegamentoipertestuale"/>
            <w:rFonts w:cs="Arial"/>
            <w:szCs w:val="16"/>
          </w:rPr>
          <w:t>https://helsinki.hu/en/wp-content/uploads/sites/2/2023/01/HUN_CSO_contribution_EC_RoL_Report_2023.pdf</w:t>
        </w:r>
      </w:hyperlink>
    </w:p>
  </w:footnote>
  <w:footnote w:id="162">
    <w:p w14:paraId="34F0BE74" w14:textId="42C9537B" w:rsidR="00367958" w:rsidRPr="00C44189" w:rsidRDefault="00367958" w:rsidP="00AA1605">
      <w:pPr>
        <w:pStyle w:val="Testonotaapidipagina"/>
        <w:jc w:val="both"/>
        <w:rPr>
          <w:rFonts w:cs="Arial"/>
          <w:szCs w:val="16"/>
          <w:lang w:val="it-IT"/>
        </w:rPr>
      </w:pPr>
      <w:r w:rsidRPr="00C44189">
        <w:rPr>
          <w:rStyle w:val="Rimandonotaapidipagina"/>
          <w:rFonts w:ascii="Arial" w:hAnsi="Arial" w:cs="Arial"/>
          <w:szCs w:val="16"/>
        </w:rPr>
        <w:footnoteRef/>
      </w:r>
      <w:r w:rsidRPr="00C44189">
        <w:rPr>
          <w:rFonts w:cs="Arial"/>
          <w:szCs w:val="16"/>
          <w:lang w:val="it-IT"/>
        </w:rPr>
        <w:t xml:space="preserve"> </w:t>
      </w:r>
      <w:r w:rsidR="0049340C" w:rsidRPr="00C44189">
        <w:rPr>
          <w:rFonts w:cs="Arial"/>
          <w:szCs w:val="16"/>
          <w:lang w:val="it-IT"/>
        </w:rPr>
        <w:t xml:space="preserve">Kúria, Pfv.IV.20.904/2021/5 in </w:t>
      </w:r>
      <w:r w:rsidRPr="00C44189">
        <w:rPr>
          <w:rFonts w:cs="Arial"/>
          <w:szCs w:val="16"/>
          <w:lang w:val="it-IT"/>
        </w:rPr>
        <w:t>Ibid.</w:t>
      </w:r>
    </w:p>
  </w:footnote>
  <w:footnote w:id="163">
    <w:p w14:paraId="245F9E6D" w14:textId="3703579B" w:rsidR="00311749" w:rsidRPr="00C44189" w:rsidRDefault="00311749"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000124D7" w:rsidRPr="00C44189">
        <w:rPr>
          <w:rFonts w:cs="Arial"/>
          <w:szCs w:val="16"/>
        </w:rPr>
        <w:t xml:space="preserve">Contributions of Hungarian CSOs to the European Commission’s Rule of Law Report, January 2023, p 52 available at: </w:t>
      </w:r>
      <w:hyperlink r:id="rId73" w:history="1">
        <w:r w:rsidR="000124D7" w:rsidRPr="00C44189">
          <w:rPr>
            <w:rStyle w:val="Collegamentoipertestuale"/>
            <w:rFonts w:cs="Arial"/>
            <w:szCs w:val="16"/>
          </w:rPr>
          <w:t>https://helsinki.hu/en/wp-content/uploads/sites/2/2023/01/HUN_CSO_contribution_EC_RoL_Report_2023.pdf</w:t>
        </w:r>
      </w:hyperlink>
    </w:p>
  </w:footnote>
  <w:footnote w:id="164">
    <w:p w14:paraId="1EE9AE88" w14:textId="7C955798" w:rsidR="002F02D9" w:rsidRPr="00C44189" w:rsidRDefault="002F02D9"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Article 85 </w:t>
      </w:r>
      <w:r w:rsidRPr="00C44189">
        <w:rPr>
          <w:rFonts w:cs="Arial"/>
          <w:szCs w:val="16"/>
          <w:lang w:val="en-US"/>
        </w:rPr>
        <w:t xml:space="preserve">GDPR, available at: </w:t>
      </w:r>
      <w:hyperlink r:id="rId74" w:history="1">
        <w:r w:rsidR="000709B9" w:rsidRPr="00C44189">
          <w:rPr>
            <w:rStyle w:val="Collegamentoipertestuale"/>
            <w:rFonts w:cs="Arial"/>
            <w:szCs w:val="16"/>
            <w:lang w:val="en-US"/>
          </w:rPr>
          <w:t>https://gdpr-info.eu/art-85-gdpr/</w:t>
        </w:r>
      </w:hyperlink>
      <w:r w:rsidR="000709B9" w:rsidRPr="00C44189">
        <w:rPr>
          <w:rFonts w:cs="Arial"/>
          <w:szCs w:val="16"/>
          <w:lang w:val="en-US"/>
        </w:rPr>
        <w:t xml:space="preserve"> </w:t>
      </w:r>
    </w:p>
  </w:footnote>
  <w:footnote w:id="165">
    <w:p w14:paraId="5B0F10A7" w14:textId="469E9384" w:rsidR="000A4FC6" w:rsidRPr="00C44189" w:rsidRDefault="000A4FC6" w:rsidP="00AA1605">
      <w:pPr>
        <w:pStyle w:val="Testonotaapidipagina"/>
        <w:jc w:val="both"/>
        <w:rPr>
          <w:rFonts w:cs="Arial"/>
          <w:szCs w:val="16"/>
        </w:rPr>
      </w:pPr>
      <w:r w:rsidRPr="00C44189">
        <w:rPr>
          <w:rStyle w:val="Rimandonotaapidipagina"/>
          <w:rFonts w:ascii="Arial" w:hAnsi="Arial" w:cs="Arial"/>
          <w:szCs w:val="16"/>
        </w:rPr>
        <w:footnoteRef/>
      </w:r>
      <w:r w:rsidRPr="00C44189">
        <w:rPr>
          <w:rFonts w:cs="Arial"/>
          <w:szCs w:val="16"/>
        </w:rPr>
        <w:t xml:space="preserve">  Hungarian government launched a national consultation of all Hungarian households, entitled «Stop Brussels», focusing on 6 specific issues. Several of the claims and allegations made in the consultation are factually incorrect or highly misleading</w:t>
      </w:r>
      <w:r w:rsidR="00A23EF1" w:rsidRPr="00C44189">
        <w:rPr>
          <w:rFonts w:cs="Arial"/>
          <w:szCs w:val="16"/>
        </w:rPr>
        <w:t xml:space="preserve"> in European Commission, “Stop Brussels”: European Commission responds to Hungarian national consultation</w:t>
      </w:r>
      <w:r w:rsidR="00C656C6" w:rsidRPr="00C44189">
        <w:rPr>
          <w:rFonts w:cs="Arial"/>
          <w:szCs w:val="16"/>
        </w:rPr>
        <w:t xml:space="preserve">, 27 April 2017, available at: </w:t>
      </w:r>
      <w:hyperlink r:id="rId75" w:history="1">
        <w:r w:rsidR="00C656C6" w:rsidRPr="00C44189">
          <w:rPr>
            <w:rStyle w:val="Collegamentoipertestuale"/>
            <w:rFonts w:cs="Arial"/>
            <w:szCs w:val="16"/>
          </w:rPr>
          <w:t>https://commission.europa.eu/publications/stop-brussels-european-commission-responds-hungarian-national-consultation_en</w:t>
        </w:r>
      </w:hyperlink>
      <w:r w:rsidR="00C656C6" w:rsidRPr="00C44189">
        <w:rPr>
          <w:rFonts w:cs="Arial"/>
          <w:szCs w:val="16"/>
        </w:rPr>
        <w:t xml:space="preserve"> </w:t>
      </w:r>
    </w:p>
  </w:footnote>
  <w:footnote w:id="166">
    <w:p w14:paraId="1DED2CB0" w14:textId="1720BCE0" w:rsidR="00906388" w:rsidRPr="00C44189" w:rsidRDefault="00906388" w:rsidP="00AA1605">
      <w:pPr>
        <w:pStyle w:val="Testonotaapidipagina"/>
        <w:jc w:val="both"/>
        <w:rPr>
          <w:rFonts w:cs="Arial"/>
          <w:szCs w:val="16"/>
          <w:lang w:val="en-US"/>
        </w:rPr>
      </w:pPr>
      <w:r w:rsidRPr="00C44189">
        <w:rPr>
          <w:rStyle w:val="Rimandonotaapidipagina"/>
          <w:rFonts w:ascii="Arial" w:hAnsi="Arial" w:cs="Arial"/>
          <w:szCs w:val="16"/>
        </w:rPr>
        <w:footnoteRef/>
      </w:r>
      <w:r w:rsidRPr="00C44189">
        <w:rPr>
          <w:rFonts w:cs="Arial"/>
          <w:szCs w:val="16"/>
        </w:rPr>
        <w:t xml:space="preserve"> </w:t>
      </w:r>
      <w:r w:rsidR="004A5069" w:rsidRPr="00C44189">
        <w:rPr>
          <w:rFonts w:cs="Arial"/>
          <w:szCs w:val="16"/>
          <w:lang w:val="en-US"/>
        </w:rPr>
        <w:t xml:space="preserve">European Parliament News, MEPs: Hungary can no longer be considered a full democracy, </w:t>
      </w:r>
      <w:r w:rsidR="002F1DD1" w:rsidRPr="00C44189">
        <w:rPr>
          <w:rFonts w:cs="Arial"/>
          <w:szCs w:val="16"/>
          <w:lang w:val="en-US"/>
        </w:rPr>
        <w:t xml:space="preserve">15 September </w:t>
      </w:r>
      <w:r w:rsidR="00966981" w:rsidRPr="00C44189">
        <w:rPr>
          <w:rFonts w:cs="Arial"/>
          <w:szCs w:val="16"/>
          <w:lang w:val="en-US"/>
        </w:rPr>
        <w:t xml:space="preserve">2022, available at: </w:t>
      </w:r>
      <w:hyperlink r:id="rId76" w:history="1">
        <w:r w:rsidR="00966981" w:rsidRPr="00C44189">
          <w:rPr>
            <w:rStyle w:val="Collegamentoipertestuale"/>
            <w:rFonts w:cs="Arial"/>
            <w:szCs w:val="16"/>
            <w:lang w:val="en-US"/>
          </w:rPr>
          <w:t>https://www.europarl.europa.eu/news/en/press-room/20220909IPR40137/meps-hungary-can-no-longer-be-considered-a-full-democracy</w:t>
        </w:r>
      </w:hyperlink>
      <w:r w:rsidR="00966981" w:rsidRPr="00C44189">
        <w:rPr>
          <w:rFonts w:cs="Arial"/>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1E0" w:firstRow="1" w:lastRow="1" w:firstColumn="1" w:lastColumn="1" w:noHBand="0" w:noVBand="0"/>
    </w:tblPr>
    <w:tblGrid>
      <w:gridCol w:w="10466"/>
    </w:tblGrid>
    <w:tr w:rsidR="007721D1" w:rsidRPr="00EA77F1" w14:paraId="3D1104B4" w14:textId="77777777">
      <w:tc>
        <w:tcPr>
          <w:tcW w:w="5000" w:type="pct"/>
        </w:tcPr>
        <w:p w14:paraId="41D254EE" w14:textId="76C7FEF2" w:rsidR="007721D1" w:rsidRPr="00EA77F1" w:rsidRDefault="000E5B20" w:rsidP="007721D1">
          <w:pPr>
            <w:pStyle w:val="MFooterSection"/>
            <w:rPr>
              <w:rFonts w:ascii="Arial" w:hAnsi="Arial" w:cs="Arial"/>
              <w:szCs w:val="18"/>
            </w:rPr>
          </w:pPr>
          <w:r>
            <w:rPr>
              <w:rFonts w:ascii="Arial" w:hAnsi="Arial" w:cs="Arial"/>
              <w:szCs w:val="18"/>
            </w:rPr>
            <w:t>Hungary</w:t>
          </w:r>
          <w:r w:rsidR="007721D1">
            <w:rPr>
              <w:rFonts w:ascii="Arial" w:hAnsi="Arial" w:cs="Arial"/>
              <w:szCs w:val="18"/>
            </w:rPr>
            <w:t xml:space="preserve"> /</w:t>
          </w:r>
          <w:r w:rsidR="007721D1" w:rsidRPr="004E20ED">
            <w:rPr>
              <w:rFonts w:ascii="Arial" w:hAnsi="Arial" w:cs="Arial"/>
              <w:szCs w:val="18"/>
            </w:rPr>
            <w:fldChar w:fldCharType="begin"/>
          </w:r>
          <w:r w:rsidR="007721D1" w:rsidRPr="004E20ED">
            <w:rPr>
              <w:rFonts w:ascii="Arial" w:hAnsi="Arial" w:cs="Arial"/>
              <w:szCs w:val="18"/>
            </w:rPr>
            <w:instrText xml:space="preserve"> PAGE   \* MERGEFORMAT </w:instrText>
          </w:r>
          <w:r w:rsidR="007721D1" w:rsidRPr="004E20ED">
            <w:rPr>
              <w:rFonts w:ascii="Arial" w:hAnsi="Arial" w:cs="Arial"/>
              <w:szCs w:val="18"/>
            </w:rPr>
            <w:fldChar w:fldCharType="separate"/>
          </w:r>
          <w:r w:rsidR="007721D1">
            <w:rPr>
              <w:rFonts w:ascii="Arial" w:hAnsi="Arial" w:cs="Arial"/>
              <w:szCs w:val="18"/>
            </w:rPr>
            <w:t>5</w:t>
          </w:r>
          <w:r w:rsidR="007721D1" w:rsidRPr="004E20ED">
            <w:rPr>
              <w:rFonts w:ascii="Arial" w:hAnsi="Arial" w:cs="Arial"/>
              <w:noProof/>
              <w:szCs w:val="18"/>
            </w:rPr>
            <w:fldChar w:fldCharType="end"/>
          </w:r>
          <w:r w:rsidR="007721D1">
            <w:rPr>
              <w:rFonts w:ascii="Arial" w:hAnsi="Arial" w:cs="Arial"/>
              <w:szCs w:val="18"/>
            </w:rPr>
            <w:t xml:space="preserve"> </w:t>
          </w:r>
        </w:p>
      </w:tc>
    </w:tr>
  </w:tbl>
  <w:p w14:paraId="3556445C" w14:textId="77777777" w:rsidR="007721D1" w:rsidRPr="007721D1" w:rsidRDefault="007721D1" w:rsidP="007721D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E68EF00"/>
    <w:lvl w:ilvl="0">
      <w:start w:val="1"/>
      <w:numFmt w:val="bullet"/>
      <w:pStyle w:val="Puntoelenco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37F05684"/>
    <w:lvl w:ilvl="0">
      <w:start w:val="1"/>
      <w:numFmt w:val="bullet"/>
      <w:pStyle w:val="Puntoelenco2"/>
      <w:lvlText w:val=""/>
      <w:lvlJc w:val="left"/>
      <w:pPr>
        <w:tabs>
          <w:tab w:val="num" w:pos="643"/>
        </w:tabs>
        <w:ind w:left="643" w:hanging="360"/>
      </w:pPr>
      <w:rPr>
        <w:rFonts w:ascii="Symbol" w:hAnsi="Symbol" w:hint="default"/>
      </w:rPr>
    </w:lvl>
  </w:abstractNum>
  <w:abstractNum w:abstractNumId="2" w15:restartNumberingAfterBreak="0">
    <w:nsid w:val="0FB41B96"/>
    <w:multiLevelType w:val="multilevel"/>
    <w:tmpl w:val="2BC0B240"/>
    <w:lvl w:ilvl="0">
      <w:start w:val="1"/>
      <w:numFmt w:val="decimal"/>
      <w:pStyle w:val="MH1"/>
      <w:lvlText w:val="%1."/>
      <w:lvlJc w:val="left"/>
      <w:pPr>
        <w:ind w:left="360" w:hanging="360"/>
      </w:pPr>
      <w:rPr>
        <w:b w:val="0"/>
        <w:bCs w:val="0"/>
        <w:i w:val="0"/>
        <w:iCs w:val="0"/>
        <w:caps w:val="0"/>
        <w:smallCaps w:val="0"/>
        <w:strike w:val="0"/>
        <w:dstrike w:val="0"/>
        <w:outline w:val="0"/>
        <w:shadow w:val="0"/>
        <w:emboss w:val="0"/>
        <w:imprint w:val="0"/>
        <w:noProof w:val="0"/>
        <w:vanish w:val="0"/>
        <w:color w:val="7AB8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olo2"/>
      <w:lvlText w:val="%1.%2"/>
      <w:lvlJc w:val="left"/>
      <w:pPr>
        <w:tabs>
          <w:tab w:val="num" w:pos="860"/>
        </w:tabs>
        <w:ind w:left="86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olo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olo4"/>
      <w:lvlText w:val="%1.%2.%3.%4"/>
      <w:lvlJc w:val="left"/>
      <w:pPr>
        <w:tabs>
          <w:tab w:val="num" w:pos="1764"/>
        </w:tabs>
        <w:ind w:left="1764" w:hanging="864"/>
      </w:pPr>
      <w:rPr>
        <w:b w:val="0"/>
        <w:bCs w:val="0"/>
        <w:i w:val="0"/>
        <w:iCs w:val="0"/>
        <w:caps w:val="0"/>
        <w:smallCaps w:val="0"/>
        <w:strike w:val="0"/>
        <w:dstrike w:val="0"/>
        <w:outline w:val="0"/>
        <w:shadow w:val="0"/>
        <w:emboss w:val="0"/>
        <w:imprint w:val="0"/>
        <w:noProof w:val="0"/>
        <w:vanish w:val="0"/>
        <w:color w:val="7AB8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 w15:restartNumberingAfterBreak="0">
    <w:nsid w:val="12D776B7"/>
    <w:multiLevelType w:val="hybridMultilevel"/>
    <w:tmpl w:val="0218A930"/>
    <w:lvl w:ilvl="0" w:tplc="7D78D6A4">
      <w:numFmt w:val="bullet"/>
      <w:lvlText w:val="-"/>
      <w:lvlJc w:val="left"/>
      <w:pPr>
        <w:ind w:left="720" w:hanging="360"/>
      </w:pPr>
      <w:rPr>
        <w:rFonts w:ascii="Arial" w:eastAsia="Times New Roman" w:hAnsi="Arial" w:cs="Arial"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721CB8"/>
    <w:multiLevelType w:val="hybridMultilevel"/>
    <w:tmpl w:val="F98C31C0"/>
    <w:lvl w:ilvl="0" w:tplc="8FBEED3C">
      <w:start w:val="1"/>
      <w:numFmt w:val="bullet"/>
      <w:lvlText w:val=""/>
      <w:lvlJc w:val="left"/>
      <w:pPr>
        <w:ind w:left="360" w:hanging="360"/>
      </w:pPr>
      <w:rPr>
        <w:rFonts w:ascii="Wingdings" w:hAnsi="Wingdings" w:hint="default"/>
        <w:b w:val="0"/>
        <w:i w:val="0"/>
        <w:color w:val="C3D69B" w:themeColor="accent1"/>
        <w:sz w:val="16"/>
        <w:u w:color="00008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96572EB"/>
    <w:multiLevelType w:val="hybridMultilevel"/>
    <w:tmpl w:val="921259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4B5342"/>
    <w:multiLevelType w:val="multilevel"/>
    <w:tmpl w:val="9858E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7462D7"/>
    <w:multiLevelType w:val="hybridMultilevel"/>
    <w:tmpl w:val="5E1A8A9A"/>
    <w:lvl w:ilvl="0" w:tplc="FD52C828">
      <w:start w:val="1"/>
      <w:numFmt w:val="bullet"/>
      <w:pStyle w:val="MMultileveltable"/>
      <w:lvlText w:val=""/>
      <w:lvlJc w:val="left"/>
      <w:pPr>
        <w:ind w:left="720" w:hanging="360"/>
      </w:pPr>
      <w:rPr>
        <w:rFonts w:ascii="Wingdings" w:hAnsi="Wingdings" w:hint="default"/>
        <w:b w:val="0"/>
        <w:i w:val="0"/>
        <w:color w:val="EAF1DD" w:themeColor="text2"/>
        <w:sz w:val="16"/>
        <w:u w:color="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E7F7B"/>
    <w:multiLevelType w:val="hybridMultilevel"/>
    <w:tmpl w:val="C0B2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E022E"/>
    <w:multiLevelType w:val="hybridMultilevel"/>
    <w:tmpl w:val="AE929F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1863F11"/>
    <w:multiLevelType w:val="hybridMultilevel"/>
    <w:tmpl w:val="BE44F1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561ED5"/>
    <w:multiLevelType w:val="hybridMultilevel"/>
    <w:tmpl w:val="51905C40"/>
    <w:lvl w:ilvl="0" w:tplc="5730599C">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E802CF5"/>
    <w:multiLevelType w:val="multilevel"/>
    <w:tmpl w:val="6E648792"/>
    <w:styleLink w:val="MilieuList"/>
    <w:lvl w:ilvl="0">
      <w:start w:val="1"/>
      <w:numFmt w:val="bullet"/>
      <w:lvlText w:val=""/>
      <w:lvlJc w:val="left"/>
      <w:pPr>
        <w:ind w:left="425" w:hanging="425"/>
      </w:pPr>
      <w:rPr>
        <w:rFonts w:ascii="Wingdings" w:hAnsi="Wingdings" w:hint="default"/>
        <w:caps w:val="0"/>
        <w:strike w:val="0"/>
        <w:dstrike w:val="0"/>
        <w:vanish w:val="0"/>
        <w:color w:val="7AB8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Wingdings" w:hAnsi="Wingdings" w:hint="default"/>
        <w:color w:val="7AB800"/>
      </w:rPr>
    </w:lvl>
    <w:lvl w:ilvl="2">
      <w:start w:val="1"/>
      <w:numFmt w:val="bullet"/>
      <w:lvlText w:val=""/>
      <w:lvlJc w:val="left"/>
      <w:pPr>
        <w:tabs>
          <w:tab w:val="num" w:pos="1276"/>
        </w:tabs>
        <w:ind w:left="1276" w:hanging="425"/>
      </w:pPr>
      <w:rPr>
        <w:rFonts w:ascii="Wingdings" w:hAnsi="Wingdings" w:hint="default"/>
        <w:color w:val="7AB800"/>
      </w:rPr>
    </w:lvl>
    <w:lvl w:ilvl="3">
      <w:start w:val="1"/>
      <w:numFmt w:val="bullet"/>
      <w:lvlText w:val=""/>
      <w:lvlJc w:val="left"/>
      <w:pPr>
        <w:tabs>
          <w:tab w:val="num" w:pos="1701"/>
        </w:tabs>
        <w:ind w:left="1701" w:hanging="425"/>
      </w:pPr>
      <w:rPr>
        <w:rFonts w:ascii="Symbol" w:hAnsi="Symbol" w:hint="default"/>
        <w:caps w:val="0"/>
        <w:strike w:val="0"/>
        <w:dstrike w:val="0"/>
        <w:vanish w:val="0"/>
        <w:color w:val="7AB8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E8846FD"/>
    <w:multiLevelType w:val="multilevel"/>
    <w:tmpl w:val="47BEC374"/>
    <w:styleLink w:val="LFO39"/>
    <w:lvl w:ilvl="0">
      <w:numFmt w:val="bullet"/>
      <w:lvlText w:val="▪"/>
      <w:lvlJc w:val="left"/>
      <w:pPr>
        <w:ind w:left="720" w:hanging="360"/>
      </w:pPr>
      <w:rPr>
        <w:rFonts w:ascii="Sylfaen" w:hAnsi="Sylfaen"/>
        <w:color w:val="7FB800"/>
        <w:sz w:val="4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10B25CA"/>
    <w:multiLevelType w:val="multilevel"/>
    <w:tmpl w:val="50BEE81A"/>
    <w:styleLink w:val="MProposallevels"/>
    <w:lvl w:ilvl="0">
      <w:start w:val="1"/>
      <w:numFmt w:val="bullet"/>
      <w:lvlText w:val=""/>
      <w:lvlJc w:val="left"/>
      <w:pPr>
        <w:ind w:left="425" w:hanging="425"/>
      </w:pPr>
      <w:rPr>
        <w:rFonts w:ascii="Wingdings" w:hAnsi="Wingdings" w:hint="default"/>
        <w:caps w:val="0"/>
        <w:strike w:val="0"/>
        <w:dstrike w:val="0"/>
        <w:vanish w:val="0"/>
        <w:color w:val="7AB8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Wingdings" w:hAnsi="Wingdings" w:hint="default"/>
        <w:color w:val="7AB800"/>
      </w:rPr>
    </w:lvl>
    <w:lvl w:ilvl="2">
      <w:start w:val="1"/>
      <w:numFmt w:val="bullet"/>
      <w:lvlText w:val=""/>
      <w:lvlJc w:val="left"/>
      <w:pPr>
        <w:tabs>
          <w:tab w:val="num" w:pos="1276"/>
        </w:tabs>
        <w:ind w:left="1276" w:hanging="425"/>
      </w:pPr>
      <w:rPr>
        <w:rFonts w:ascii="Wingdings" w:hAnsi="Wingdings" w:hint="default"/>
        <w:b/>
        <w:bCs w:val="0"/>
        <w:color w:val="7AB800" w:themeColor="background2"/>
      </w:rPr>
    </w:lvl>
    <w:lvl w:ilvl="3">
      <w:start w:val="1"/>
      <w:numFmt w:val="bullet"/>
      <w:lvlText w:val=""/>
      <w:lvlJc w:val="left"/>
      <w:pPr>
        <w:tabs>
          <w:tab w:val="num" w:pos="1701"/>
        </w:tabs>
        <w:ind w:left="1701" w:hanging="425"/>
      </w:pPr>
      <w:rPr>
        <w:rFonts w:ascii="Symbol" w:hAnsi="Symbol" w:hint="default"/>
        <w:b/>
        <w:bCs w:val="0"/>
        <w:caps w:val="0"/>
        <w:strike w:val="0"/>
        <w:dstrike w:val="0"/>
        <w:vanish w:val="0"/>
        <w:color w:val="7AB800" w:themeColor="background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45141ED"/>
    <w:multiLevelType w:val="hybridMultilevel"/>
    <w:tmpl w:val="7D96473A"/>
    <w:lvl w:ilvl="0" w:tplc="E8883D96">
      <w:start w:val="1"/>
      <w:numFmt w:val="bullet"/>
      <w:lvlText w:val=""/>
      <w:lvlJc w:val="left"/>
      <w:pPr>
        <w:ind w:left="360" w:hanging="360"/>
      </w:pPr>
      <w:rPr>
        <w:rFonts w:ascii="Wingdings" w:hAnsi="Wingdings" w:hint="default"/>
        <w:b w:val="0"/>
        <w:i w:val="0"/>
        <w:color w:val="7AB800"/>
        <w:sz w:val="14"/>
        <w:szCs w:val="18"/>
        <w:u w:color="000080"/>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46B22FB"/>
    <w:multiLevelType w:val="hybridMultilevel"/>
    <w:tmpl w:val="2CE83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B501B27"/>
    <w:multiLevelType w:val="hybridMultilevel"/>
    <w:tmpl w:val="AE72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22741"/>
    <w:multiLevelType w:val="multilevel"/>
    <w:tmpl w:val="8BCEC804"/>
    <w:lvl w:ilvl="0">
      <w:start w:val="1"/>
      <w:numFmt w:val="bullet"/>
      <w:pStyle w:val="MBTbullets"/>
      <w:lvlText w:val=""/>
      <w:lvlJc w:val="left"/>
      <w:pPr>
        <w:ind w:left="425" w:hanging="425"/>
      </w:pPr>
      <w:rPr>
        <w:rFonts w:ascii="Wingdings" w:hAnsi="Wingdings" w:hint="default"/>
        <w:caps w:val="0"/>
        <w:strike w:val="0"/>
        <w:dstrike w:val="0"/>
        <w:vanish w:val="0"/>
        <w:color w:val="7AB800"/>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Wingdings" w:hAnsi="Wingdings" w:hint="default"/>
        <w:color w:val="7AB800"/>
      </w:rPr>
    </w:lvl>
    <w:lvl w:ilvl="2">
      <w:start w:val="1"/>
      <w:numFmt w:val="bullet"/>
      <w:lvlText w:val=""/>
      <w:lvlJc w:val="left"/>
      <w:pPr>
        <w:tabs>
          <w:tab w:val="num" w:pos="1276"/>
        </w:tabs>
        <w:ind w:left="1276" w:hanging="425"/>
      </w:pPr>
      <w:rPr>
        <w:rFonts w:ascii="Wingdings" w:hAnsi="Wingdings" w:hint="default"/>
        <w:b/>
        <w:bCs w:val="0"/>
        <w:color w:val="7AB800" w:themeColor="background2"/>
      </w:rPr>
    </w:lvl>
    <w:lvl w:ilvl="3">
      <w:start w:val="1"/>
      <w:numFmt w:val="bullet"/>
      <w:lvlText w:val=""/>
      <w:lvlJc w:val="left"/>
      <w:pPr>
        <w:tabs>
          <w:tab w:val="num" w:pos="1701"/>
        </w:tabs>
        <w:ind w:left="1701" w:hanging="425"/>
      </w:pPr>
      <w:rPr>
        <w:rFonts w:ascii="Symbol" w:hAnsi="Symbol" w:hint="default"/>
        <w:b/>
        <w:bCs w:val="0"/>
        <w:caps w:val="0"/>
        <w:strike w:val="0"/>
        <w:dstrike w:val="0"/>
        <w:vanish w:val="0"/>
        <w:color w:val="7AB800" w:themeColor="background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C54A91"/>
    <w:multiLevelType w:val="hybridMultilevel"/>
    <w:tmpl w:val="BAF4B48E"/>
    <w:lvl w:ilvl="0" w:tplc="8FBEED3C">
      <w:start w:val="1"/>
      <w:numFmt w:val="bullet"/>
      <w:lvlText w:val=""/>
      <w:lvlJc w:val="left"/>
      <w:pPr>
        <w:ind w:left="360" w:hanging="360"/>
      </w:pPr>
      <w:rPr>
        <w:rFonts w:ascii="Wingdings" w:hAnsi="Wingdings" w:hint="default"/>
        <w:b w:val="0"/>
        <w:i w:val="0"/>
        <w:color w:val="C3D69B" w:themeColor="accent1"/>
        <w:sz w:val="16"/>
        <w:u w:color="00008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45B14759"/>
    <w:multiLevelType w:val="hybridMultilevel"/>
    <w:tmpl w:val="A9E8AD80"/>
    <w:lvl w:ilvl="0" w:tplc="7EA03D06">
      <w:start w:val="1"/>
      <w:numFmt w:val="bullet"/>
      <w:lvlText w:val=""/>
      <w:lvlJc w:val="left"/>
      <w:pPr>
        <w:ind w:left="720" w:hanging="360"/>
      </w:pPr>
      <w:rPr>
        <w:rFonts w:ascii="Symbol" w:hAnsi="Symbol" w:hint="default"/>
        <w:color w:val="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0434A9"/>
    <w:multiLevelType w:val="multilevel"/>
    <w:tmpl w:val="50BEE81A"/>
    <w:styleLink w:val="Style1"/>
    <w:lvl w:ilvl="0">
      <w:start w:val="1"/>
      <w:numFmt w:val="bullet"/>
      <w:lvlText w:val=""/>
      <w:lvlJc w:val="left"/>
      <w:pPr>
        <w:ind w:left="425" w:hanging="425"/>
      </w:pPr>
      <w:rPr>
        <w:rFonts w:ascii="Wingdings" w:hAnsi="Wingdings" w:hint="default"/>
        <w:caps w:val="0"/>
        <w:strike w:val="0"/>
        <w:dstrike w:val="0"/>
        <w:vanish w:val="0"/>
        <w:color w:val="7AB8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Wingdings" w:hAnsi="Wingdings" w:hint="default"/>
        <w:color w:val="7AB800"/>
      </w:rPr>
    </w:lvl>
    <w:lvl w:ilvl="2">
      <w:start w:val="1"/>
      <w:numFmt w:val="bullet"/>
      <w:lvlText w:val=""/>
      <w:lvlJc w:val="left"/>
      <w:pPr>
        <w:tabs>
          <w:tab w:val="num" w:pos="1276"/>
        </w:tabs>
        <w:ind w:left="1276" w:hanging="425"/>
      </w:pPr>
      <w:rPr>
        <w:rFonts w:ascii="Wingdings" w:hAnsi="Wingdings" w:hint="default"/>
        <w:b/>
        <w:bCs w:val="0"/>
        <w:color w:val="7AB800" w:themeColor="background2"/>
      </w:rPr>
    </w:lvl>
    <w:lvl w:ilvl="3">
      <w:start w:val="1"/>
      <w:numFmt w:val="bullet"/>
      <w:lvlText w:val=""/>
      <w:lvlJc w:val="left"/>
      <w:pPr>
        <w:tabs>
          <w:tab w:val="num" w:pos="1701"/>
        </w:tabs>
        <w:ind w:left="1701" w:hanging="425"/>
      </w:pPr>
      <w:rPr>
        <w:rFonts w:ascii="Symbol" w:hAnsi="Symbol" w:hint="default"/>
        <w:b/>
        <w:bCs w:val="0"/>
        <w:caps w:val="0"/>
        <w:strike w:val="0"/>
        <w:dstrike w:val="0"/>
        <w:vanish w:val="0"/>
        <w:color w:val="7AB800" w:themeColor="background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C6C1E53"/>
    <w:multiLevelType w:val="hybridMultilevel"/>
    <w:tmpl w:val="6DA4B134"/>
    <w:lvl w:ilvl="0" w:tplc="63FA06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A0151"/>
    <w:multiLevelType w:val="hybridMultilevel"/>
    <w:tmpl w:val="654EF68C"/>
    <w:lvl w:ilvl="0" w:tplc="D7A2FC52">
      <w:start w:val="1"/>
      <w:numFmt w:val="bullet"/>
      <w:pStyle w:val="MMultilevelBulletedListSub"/>
      <w:lvlText w:val=""/>
      <w:lvlJc w:val="left"/>
      <w:pPr>
        <w:ind w:left="1728" w:hanging="360"/>
      </w:pPr>
      <w:rPr>
        <w:rFonts w:ascii="Wingdings" w:hAnsi="Wingdings" w:hint="default"/>
        <w:b w:val="0"/>
        <w:i w:val="0"/>
        <w:color w:val="7FB800"/>
        <w:sz w:val="16"/>
        <w:u w:color="000080"/>
      </w:rPr>
    </w:lvl>
    <w:lvl w:ilvl="1" w:tplc="080C0003" w:tentative="1">
      <w:start w:val="1"/>
      <w:numFmt w:val="bullet"/>
      <w:lvlText w:val="o"/>
      <w:lvlJc w:val="left"/>
      <w:pPr>
        <w:ind w:left="2448" w:hanging="360"/>
      </w:pPr>
      <w:rPr>
        <w:rFonts w:ascii="Courier New" w:hAnsi="Courier New" w:cs="Courier New" w:hint="default"/>
      </w:rPr>
    </w:lvl>
    <w:lvl w:ilvl="2" w:tplc="080C0005" w:tentative="1">
      <w:start w:val="1"/>
      <w:numFmt w:val="bullet"/>
      <w:lvlText w:val=""/>
      <w:lvlJc w:val="left"/>
      <w:pPr>
        <w:ind w:left="3168" w:hanging="360"/>
      </w:pPr>
      <w:rPr>
        <w:rFonts w:ascii="Wingdings" w:hAnsi="Wingdings" w:hint="default"/>
      </w:rPr>
    </w:lvl>
    <w:lvl w:ilvl="3" w:tplc="080C0001" w:tentative="1">
      <w:start w:val="1"/>
      <w:numFmt w:val="bullet"/>
      <w:lvlText w:val=""/>
      <w:lvlJc w:val="left"/>
      <w:pPr>
        <w:ind w:left="3888" w:hanging="360"/>
      </w:pPr>
      <w:rPr>
        <w:rFonts w:ascii="Symbol" w:hAnsi="Symbol" w:hint="default"/>
      </w:rPr>
    </w:lvl>
    <w:lvl w:ilvl="4" w:tplc="080C0003" w:tentative="1">
      <w:start w:val="1"/>
      <w:numFmt w:val="bullet"/>
      <w:lvlText w:val="o"/>
      <w:lvlJc w:val="left"/>
      <w:pPr>
        <w:ind w:left="4608" w:hanging="360"/>
      </w:pPr>
      <w:rPr>
        <w:rFonts w:ascii="Courier New" w:hAnsi="Courier New" w:cs="Courier New" w:hint="default"/>
      </w:rPr>
    </w:lvl>
    <w:lvl w:ilvl="5" w:tplc="080C0005" w:tentative="1">
      <w:start w:val="1"/>
      <w:numFmt w:val="bullet"/>
      <w:lvlText w:val=""/>
      <w:lvlJc w:val="left"/>
      <w:pPr>
        <w:ind w:left="5328" w:hanging="360"/>
      </w:pPr>
      <w:rPr>
        <w:rFonts w:ascii="Wingdings" w:hAnsi="Wingdings" w:hint="default"/>
      </w:rPr>
    </w:lvl>
    <w:lvl w:ilvl="6" w:tplc="080C0001" w:tentative="1">
      <w:start w:val="1"/>
      <w:numFmt w:val="bullet"/>
      <w:lvlText w:val=""/>
      <w:lvlJc w:val="left"/>
      <w:pPr>
        <w:ind w:left="6048" w:hanging="360"/>
      </w:pPr>
      <w:rPr>
        <w:rFonts w:ascii="Symbol" w:hAnsi="Symbol" w:hint="default"/>
      </w:rPr>
    </w:lvl>
    <w:lvl w:ilvl="7" w:tplc="080C0003" w:tentative="1">
      <w:start w:val="1"/>
      <w:numFmt w:val="bullet"/>
      <w:lvlText w:val="o"/>
      <w:lvlJc w:val="left"/>
      <w:pPr>
        <w:ind w:left="6768" w:hanging="360"/>
      </w:pPr>
      <w:rPr>
        <w:rFonts w:ascii="Courier New" w:hAnsi="Courier New" w:cs="Courier New" w:hint="default"/>
      </w:rPr>
    </w:lvl>
    <w:lvl w:ilvl="8" w:tplc="080C0005" w:tentative="1">
      <w:start w:val="1"/>
      <w:numFmt w:val="bullet"/>
      <w:lvlText w:val=""/>
      <w:lvlJc w:val="left"/>
      <w:pPr>
        <w:ind w:left="7488" w:hanging="360"/>
      </w:pPr>
      <w:rPr>
        <w:rFonts w:ascii="Wingdings" w:hAnsi="Wingdings" w:hint="default"/>
      </w:rPr>
    </w:lvl>
  </w:abstractNum>
  <w:abstractNum w:abstractNumId="24" w15:restartNumberingAfterBreak="0">
    <w:nsid w:val="59740419"/>
    <w:multiLevelType w:val="hybridMultilevel"/>
    <w:tmpl w:val="E7D6A3BC"/>
    <w:lvl w:ilvl="0" w:tplc="F89E8A58">
      <w:start w:val="1"/>
      <w:numFmt w:val="bullet"/>
      <w:pStyle w:val="MMultilevelBulletedList"/>
      <w:lvlText w:val=""/>
      <w:lvlJc w:val="left"/>
      <w:pPr>
        <w:ind w:left="1123" w:hanging="360"/>
      </w:pPr>
      <w:rPr>
        <w:rFonts w:ascii="Wingdings" w:hAnsi="Wingdings" w:hint="default"/>
        <w:b w:val="0"/>
        <w:i w:val="0"/>
        <w:color w:val="7FB800"/>
        <w:sz w:val="16"/>
        <w:u w:color="000080"/>
      </w:rPr>
    </w:lvl>
    <w:lvl w:ilvl="1" w:tplc="080C0003" w:tentative="1">
      <w:start w:val="1"/>
      <w:numFmt w:val="bullet"/>
      <w:lvlText w:val="o"/>
      <w:lvlJc w:val="left"/>
      <w:pPr>
        <w:ind w:left="1843" w:hanging="360"/>
      </w:pPr>
      <w:rPr>
        <w:rFonts w:ascii="Courier New" w:hAnsi="Courier New" w:cs="Courier New" w:hint="default"/>
      </w:rPr>
    </w:lvl>
    <w:lvl w:ilvl="2" w:tplc="080C0005" w:tentative="1">
      <w:start w:val="1"/>
      <w:numFmt w:val="bullet"/>
      <w:lvlText w:val=""/>
      <w:lvlJc w:val="left"/>
      <w:pPr>
        <w:ind w:left="2563" w:hanging="360"/>
      </w:pPr>
      <w:rPr>
        <w:rFonts w:ascii="Wingdings" w:hAnsi="Wingdings" w:hint="default"/>
      </w:rPr>
    </w:lvl>
    <w:lvl w:ilvl="3" w:tplc="080C0001" w:tentative="1">
      <w:start w:val="1"/>
      <w:numFmt w:val="bullet"/>
      <w:lvlText w:val=""/>
      <w:lvlJc w:val="left"/>
      <w:pPr>
        <w:ind w:left="3283" w:hanging="360"/>
      </w:pPr>
      <w:rPr>
        <w:rFonts w:ascii="Symbol" w:hAnsi="Symbol" w:hint="default"/>
      </w:rPr>
    </w:lvl>
    <w:lvl w:ilvl="4" w:tplc="080C0003" w:tentative="1">
      <w:start w:val="1"/>
      <w:numFmt w:val="bullet"/>
      <w:lvlText w:val="o"/>
      <w:lvlJc w:val="left"/>
      <w:pPr>
        <w:ind w:left="4003" w:hanging="360"/>
      </w:pPr>
      <w:rPr>
        <w:rFonts w:ascii="Courier New" w:hAnsi="Courier New" w:cs="Courier New" w:hint="default"/>
      </w:rPr>
    </w:lvl>
    <w:lvl w:ilvl="5" w:tplc="080C0005" w:tentative="1">
      <w:start w:val="1"/>
      <w:numFmt w:val="bullet"/>
      <w:lvlText w:val=""/>
      <w:lvlJc w:val="left"/>
      <w:pPr>
        <w:ind w:left="4723" w:hanging="360"/>
      </w:pPr>
      <w:rPr>
        <w:rFonts w:ascii="Wingdings" w:hAnsi="Wingdings" w:hint="default"/>
      </w:rPr>
    </w:lvl>
    <w:lvl w:ilvl="6" w:tplc="080C0001" w:tentative="1">
      <w:start w:val="1"/>
      <w:numFmt w:val="bullet"/>
      <w:lvlText w:val=""/>
      <w:lvlJc w:val="left"/>
      <w:pPr>
        <w:ind w:left="5443" w:hanging="360"/>
      </w:pPr>
      <w:rPr>
        <w:rFonts w:ascii="Symbol" w:hAnsi="Symbol" w:hint="default"/>
      </w:rPr>
    </w:lvl>
    <w:lvl w:ilvl="7" w:tplc="080C0003" w:tentative="1">
      <w:start w:val="1"/>
      <w:numFmt w:val="bullet"/>
      <w:lvlText w:val="o"/>
      <w:lvlJc w:val="left"/>
      <w:pPr>
        <w:ind w:left="6163" w:hanging="360"/>
      </w:pPr>
      <w:rPr>
        <w:rFonts w:ascii="Courier New" w:hAnsi="Courier New" w:cs="Courier New" w:hint="default"/>
      </w:rPr>
    </w:lvl>
    <w:lvl w:ilvl="8" w:tplc="080C0005" w:tentative="1">
      <w:start w:val="1"/>
      <w:numFmt w:val="bullet"/>
      <w:lvlText w:val=""/>
      <w:lvlJc w:val="left"/>
      <w:pPr>
        <w:ind w:left="6883" w:hanging="360"/>
      </w:pPr>
      <w:rPr>
        <w:rFonts w:ascii="Wingdings" w:hAnsi="Wingdings" w:hint="default"/>
      </w:rPr>
    </w:lvl>
  </w:abstractNum>
  <w:abstractNum w:abstractNumId="25" w15:restartNumberingAfterBreak="0">
    <w:nsid w:val="59F54EF3"/>
    <w:multiLevelType w:val="hybridMultilevel"/>
    <w:tmpl w:val="F8BE3C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D4616"/>
    <w:multiLevelType w:val="multilevel"/>
    <w:tmpl w:val="F97CB552"/>
    <w:styleLink w:val="LFO2"/>
    <w:lvl w:ilvl="0">
      <w:start w:val="1"/>
      <w:numFmt w:val="decimal"/>
      <w:lvlText w:val="%1."/>
      <w:lvlJc w:val="left"/>
      <w:pPr>
        <w:ind w:left="360" w:hanging="360"/>
      </w:pPr>
      <w:rPr>
        <w:b/>
        <w:bCs/>
        <w:i w:val="0"/>
        <w:iCs w:val="0"/>
        <w:caps/>
        <w:strike w:val="0"/>
        <w:dstrike w:val="0"/>
        <w:vanish w:val="0"/>
        <w:color w:val="7FB800"/>
        <w:spacing w:val="0"/>
        <w:w w:val="100"/>
        <w:kern w:val="0"/>
        <w:position w:val="0"/>
        <w:sz w:val="24"/>
        <w:szCs w:val="24"/>
        <w:u w:val="none"/>
        <w:vertAlign w:val="baseline"/>
        <w:em w:val="none"/>
      </w:rPr>
    </w:lvl>
    <w:lvl w:ilvl="1">
      <w:start w:val="1"/>
      <w:numFmt w:val="decimal"/>
      <w:lvlText w:val="%1.%2"/>
      <w:lvlJc w:val="left"/>
      <w:pPr>
        <w:ind w:left="576" w:hanging="576"/>
      </w:pPr>
      <w:rPr>
        <w:rFonts w:ascii="Century Gothic" w:hAnsi="Century Gothic" w:cs="Times New Roman"/>
        <w:i w:val="0"/>
        <w:smallCaps w:val="0"/>
        <w:strike w:val="0"/>
        <w:dstrike w:val="0"/>
        <w:vanish w:val="0"/>
        <w:color w:val="7FB800"/>
        <w:spacing w:val="0"/>
        <w:kern w:val="0"/>
        <w:position w:val="0"/>
        <w:u w:val="none"/>
        <w:vertAlign w:val="baseline"/>
        <w:em w:val="none"/>
      </w:rPr>
    </w:lvl>
    <w:lvl w:ilvl="2">
      <w:start w:val="1"/>
      <w:numFmt w:val="decimal"/>
      <w:lvlText w:val="%1.%2.%3"/>
      <w:lvlJc w:val="left"/>
      <w:pPr>
        <w:ind w:left="720" w:hanging="720"/>
      </w:pPr>
      <w:rPr>
        <w:rFonts w:ascii="Century Gothic" w:hAnsi="Century Gothic" w:cs="Times New Roman"/>
        <w:i w:val="0"/>
        <w:smallCaps w:val="0"/>
        <w:strike w:val="0"/>
        <w:dstrike w:val="0"/>
        <w:vanish w:val="0"/>
        <w:color w:val="auto"/>
        <w:spacing w:val="0"/>
        <w:kern w:val="0"/>
        <w:position w:val="0"/>
        <w:u w:val="none"/>
        <w:vertAlign w:val="baseline"/>
        <w:em w:val="none"/>
      </w:rPr>
    </w:lvl>
    <w:lvl w:ilvl="3">
      <w:start w:val="1"/>
      <w:numFmt w:val="decimal"/>
      <w:lvlText w:val="%1.%2.%3.%4"/>
      <w:lvlJc w:val="left"/>
      <w:pPr>
        <w:ind w:left="1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12F03B0"/>
    <w:multiLevelType w:val="hybridMultilevel"/>
    <w:tmpl w:val="4D2CE092"/>
    <w:lvl w:ilvl="0" w:tplc="783C08C8">
      <w:start w:val="1"/>
      <w:numFmt w:val="bullet"/>
      <w:pStyle w:val="MMultilevelList"/>
      <w:lvlText w:val="▪"/>
      <w:lvlJc w:val="left"/>
      <w:pPr>
        <w:ind w:left="720" w:hanging="360"/>
      </w:pPr>
      <w:rPr>
        <w:rFonts w:ascii="Sylfaen" w:hAnsi="Sylfaen" w:hint="default"/>
        <w:color w:val="7FB800"/>
        <w:sz w:val="4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D3E34"/>
    <w:multiLevelType w:val="hybridMultilevel"/>
    <w:tmpl w:val="02E46124"/>
    <w:lvl w:ilvl="0" w:tplc="C60AF098">
      <w:start w:val="1"/>
      <w:numFmt w:val="bullet"/>
      <w:lvlText w:val=""/>
      <w:lvlJc w:val="left"/>
      <w:pPr>
        <w:ind w:left="720" w:hanging="360"/>
      </w:pPr>
      <w:rPr>
        <w:rFonts w:ascii="Symbol" w:hAnsi="Symbol"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3CC4D91"/>
    <w:multiLevelType w:val="multilevel"/>
    <w:tmpl w:val="AEF8E6AA"/>
    <w:styleLink w:val="LFO23"/>
    <w:lvl w:ilvl="0">
      <w:start w:val="1"/>
      <w:numFmt w:val="decimal"/>
      <w:pStyle w:val="Titolo1"/>
      <w:lvlText w:val="%1"/>
      <w:lvlJc w:val="left"/>
      <w:pPr>
        <w:tabs>
          <w:tab w:val="num" w:pos="432"/>
        </w:tabs>
        <w:ind w:left="432" w:hanging="432"/>
      </w:pPr>
      <w:rPr>
        <w:rFonts w:ascii="Century Gothic" w:hAnsi="Century Gothic"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Century Gothic" w:hAnsi="Century Gothic" w:hint="default"/>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5D01E4C"/>
    <w:multiLevelType w:val="multilevel"/>
    <w:tmpl w:val="54A2468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1D3638"/>
    <w:multiLevelType w:val="hybridMultilevel"/>
    <w:tmpl w:val="997CC126"/>
    <w:lvl w:ilvl="0" w:tplc="B0D8C24C">
      <w:start w:val="1"/>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CFB3266"/>
    <w:multiLevelType w:val="hybridMultilevel"/>
    <w:tmpl w:val="CF766812"/>
    <w:lvl w:ilvl="0" w:tplc="D7F0A62C">
      <w:start w:val="1"/>
      <w:numFmt w:val="bullet"/>
      <w:lvlText w:val=""/>
      <w:lvlJc w:val="left"/>
      <w:pPr>
        <w:ind w:left="720" w:hanging="360"/>
      </w:pPr>
      <w:rPr>
        <w:rFonts w:ascii="Symbol" w:hAnsi="Symbol" w:hint="default"/>
        <w:b w:val="0"/>
        <w:i w:val="0"/>
        <w:color w:val="FF0000"/>
        <w:sz w:val="16"/>
        <w:u w:color="00008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DA35422"/>
    <w:multiLevelType w:val="hybridMultilevel"/>
    <w:tmpl w:val="45CE4932"/>
    <w:lvl w:ilvl="0" w:tplc="D5B053BE">
      <w:start w:val="1"/>
      <w:numFmt w:val="bullet"/>
      <w:lvlText w:val=""/>
      <w:lvlJc w:val="left"/>
      <w:pPr>
        <w:ind w:left="720" w:hanging="360"/>
      </w:pPr>
      <w:rPr>
        <w:rFonts w:ascii="Symbol" w:hAnsi="Symbol" w:hint="default"/>
        <w:color w:val="002395"/>
      </w:rPr>
    </w:lvl>
    <w:lvl w:ilvl="1" w:tplc="69F4236A">
      <w:numFmt w:val="bullet"/>
      <w:lvlText w:val="-"/>
      <w:lvlJc w:val="left"/>
      <w:pPr>
        <w:ind w:left="1440" w:hanging="360"/>
      </w:pPr>
      <w:rPr>
        <w:rFonts w:ascii="Verdana" w:eastAsia="Times New Roman" w:hAnsi="Verdan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E0804EF"/>
    <w:multiLevelType w:val="multilevel"/>
    <w:tmpl w:val="CD409160"/>
    <w:lvl w:ilvl="0">
      <w:start w:val="2"/>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5" w15:restartNumberingAfterBreak="0">
    <w:nsid w:val="71FA6619"/>
    <w:multiLevelType w:val="hybridMultilevel"/>
    <w:tmpl w:val="BE44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577214">
    <w:abstractNumId w:val="29"/>
  </w:num>
  <w:num w:numId="2" w16cid:durableId="1518421286">
    <w:abstractNumId w:val="2"/>
  </w:num>
  <w:num w:numId="3" w16cid:durableId="1824735661">
    <w:abstractNumId w:val="18"/>
  </w:num>
  <w:num w:numId="4" w16cid:durableId="29451593">
    <w:abstractNumId w:val="12"/>
  </w:num>
  <w:num w:numId="5" w16cid:durableId="607389944">
    <w:abstractNumId w:val="1"/>
  </w:num>
  <w:num w:numId="6" w16cid:durableId="706176900">
    <w:abstractNumId w:val="15"/>
  </w:num>
  <w:num w:numId="7" w16cid:durableId="277874255">
    <w:abstractNumId w:val="27"/>
  </w:num>
  <w:num w:numId="8" w16cid:durableId="57172303">
    <w:abstractNumId w:val="7"/>
  </w:num>
  <w:num w:numId="9" w16cid:durableId="446772928">
    <w:abstractNumId w:val="0"/>
  </w:num>
  <w:num w:numId="10" w16cid:durableId="1699816213">
    <w:abstractNumId w:val="24"/>
  </w:num>
  <w:num w:numId="11" w16cid:durableId="1223174171">
    <w:abstractNumId w:val="23"/>
  </w:num>
  <w:num w:numId="12" w16cid:durableId="188682583">
    <w:abstractNumId w:val="13"/>
  </w:num>
  <w:num w:numId="13" w16cid:durableId="1424885783">
    <w:abstractNumId w:val="32"/>
  </w:num>
  <w:num w:numId="14" w16cid:durableId="1428115135">
    <w:abstractNumId w:val="16"/>
  </w:num>
  <w:num w:numId="15" w16cid:durableId="1730609832">
    <w:abstractNumId w:val="20"/>
  </w:num>
  <w:num w:numId="16" w16cid:durableId="112749411">
    <w:abstractNumId w:val="26"/>
  </w:num>
  <w:num w:numId="17" w16cid:durableId="1357462592">
    <w:abstractNumId w:val="21"/>
  </w:num>
  <w:num w:numId="18" w16cid:durableId="349600245">
    <w:abstractNumId w:val="14"/>
  </w:num>
  <w:num w:numId="19" w16cid:durableId="643235861">
    <w:abstractNumId w:val="31"/>
  </w:num>
  <w:num w:numId="20" w16cid:durableId="1127695406">
    <w:abstractNumId w:val="25"/>
  </w:num>
  <w:num w:numId="21" w16cid:durableId="1903827721">
    <w:abstractNumId w:val="4"/>
  </w:num>
  <w:num w:numId="22" w16cid:durableId="271328826">
    <w:abstractNumId w:val="19"/>
  </w:num>
  <w:num w:numId="23" w16cid:durableId="938299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27905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0038704">
    <w:abstractNumId w:val="2"/>
  </w:num>
  <w:num w:numId="26" w16cid:durableId="1669599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9753382">
    <w:abstractNumId w:val="2"/>
  </w:num>
  <w:num w:numId="28" w16cid:durableId="1532263869">
    <w:abstractNumId w:val="2"/>
  </w:num>
  <w:num w:numId="29" w16cid:durableId="1155343770">
    <w:abstractNumId w:val="2"/>
  </w:num>
  <w:num w:numId="30" w16cid:durableId="547183732">
    <w:abstractNumId w:val="2"/>
  </w:num>
  <w:num w:numId="31" w16cid:durableId="1311210015">
    <w:abstractNumId w:val="33"/>
  </w:num>
  <w:num w:numId="32" w16cid:durableId="203178308">
    <w:abstractNumId w:val="30"/>
  </w:num>
  <w:num w:numId="33" w16cid:durableId="501507517">
    <w:abstractNumId w:val="17"/>
  </w:num>
  <w:num w:numId="34" w16cid:durableId="1075130153">
    <w:abstractNumId w:val="8"/>
  </w:num>
  <w:num w:numId="35" w16cid:durableId="2095319741">
    <w:abstractNumId w:val="9"/>
  </w:num>
  <w:num w:numId="36" w16cid:durableId="789321427">
    <w:abstractNumId w:val="5"/>
  </w:num>
  <w:num w:numId="37" w16cid:durableId="1491288303">
    <w:abstractNumId w:val="34"/>
  </w:num>
  <w:num w:numId="38" w16cid:durableId="1326274727">
    <w:abstractNumId w:val="22"/>
  </w:num>
  <w:num w:numId="39" w16cid:durableId="1267232694">
    <w:abstractNumId w:val="11"/>
  </w:num>
  <w:num w:numId="40" w16cid:durableId="293290991">
    <w:abstractNumId w:val="35"/>
  </w:num>
  <w:num w:numId="41" w16cid:durableId="1013724236">
    <w:abstractNumId w:val="10"/>
  </w:num>
  <w:num w:numId="42" w16cid:durableId="36664675">
    <w:abstractNumId w:val="6"/>
  </w:num>
  <w:num w:numId="43" w16cid:durableId="297734260">
    <w:abstractNumId w:val="28"/>
  </w:num>
  <w:num w:numId="44" w16cid:durableId="183318420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9A"/>
    <w:rsid w:val="0000054D"/>
    <w:rsid w:val="000010D3"/>
    <w:rsid w:val="0000151A"/>
    <w:rsid w:val="00001753"/>
    <w:rsid w:val="000017CA"/>
    <w:rsid w:val="00001B23"/>
    <w:rsid w:val="00001C58"/>
    <w:rsid w:val="00001E55"/>
    <w:rsid w:val="000021F4"/>
    <w:rsid w:val="00002592"/>
    <w:rsid w:val="00002E33"/>
    <w:rsid w:val="00003028"/>
    <w:rsid w:val="0000314C"/>
    <w:rsid w:val="0000324B"/>
    <w:rsid w:val="00003BB4"/>
    <w:rsid w:val="00004351"/>
    <w:rsid w:val="00004677"/>
    <w:rsid w:val="00004A17"/>
    <w:rsid w:val="00004FF4"/>
    <w:rsid w:val="000051FD"/>
    <w:rsid w:val="0000593C"/>
    <w:rsid w:val="00005CF5"/>
    <w:rsid w:val="00005F9C"/>
    <w:rsid w:val="000064D5"/>
    <w:rsid w:val="00006DA5"/>
    <w:rsid w:val="00007456"/>
    <w:rsid w:val="0000749C"/>
    <w:rsid w:val="00007885"/>
    <w:rsid w:val="000109E3"/>
    <w:rsid w:val="00010E6A"/>
    <w:rsid w:val="000111EF"/>
    <w:rsid w:val="0001137E"/>
    <w:rsid w:val="00011425"/>
    <w:rsid w:val="00011709"/>
    <w:rsid w:val="000118E2"/>
    <w:rsid w:val="00011BE1"/>
    <w:rsid w:val="00011E68"/>
    <w:rsid w:val="00012319"/>
    <w:rsid w:val="00012410"/>
    <w:rsid w:val="000124D7"/>
    <w:rsid w:val="000127E5"/>
    <w:rsid w:val="00012B24"/>
    <w:rsid w:val="00012BEB"/>
    <w:rsid w:val="00012E87"/>
    <w:rsid w:val="00012FD6"/>
    <w:rsid w:val="00013303"/>
    <w:rsid w:val="00013649"/>
    <w:rsid w:val="00013720"/>
    <w:rsid w:val="00013A48"/>
    <w:rsid w:val="00013D85"/>
    <w:rsid w:val="00014160"/>
    <w:rsid w:val="000141DC"/>
    <w:rsid w:val="000142DE"/>
    <w:rsid w:val="0001447F"/>
    <w:rsid w:val="0001451A"/>
    <w:rsid w:val="00014FA4"/>
    <w:rsid w:val="0001510A"/>
    <w:rsid w:val="00015119"/>
    <w:rsid w:val="00015505"/>
    <w:rsid w:val="00015694"/>
    <w:rsid w:val="000158A3"/>
    <w:rsid w:val="0001594B"/>
    <w:rsid w:val="00015A01"/>
    <w:rsid w:val="00015C1C"/>
    <w:rsid w:val="00016078"/>
    <w:rsid w:val="00016124"/>
    <w:rsid w:val="0001760D"/>
    <w:rsid w:val="00017721"/>
    <w:rsid w:val="00017734"/>
    <w:rsid w:val="000178C4"/>
    <w:rsid w:val="00017B8C"/>
    <w:rsid w:val="00017CAC"/>
    <w:rsid w:val="00017DFA"/>
    <w:rsid w:val="00020635"/>
    <w:rsid w:val="000207A8"/>
    <w:rsid w:val="00020877"/>
    <w:rsid w:val="00020A05"/>
    <w:rsid w:val="00020BAF"/>
    <w:rsid w:val="00020F37"/>
    <w:rsid w:val="00021149"/>
    <w:rsid w:val="00021295"/>
    <w:rsid w:val="00021CE8"/>
    <w:rsid w:val="00021EC6"/>
    <w:rsid w:val="000222D4"/>
    <w:rsid w:val="000226FF"/>
    <w:rsid w:val="0002279A"/>
    <w:rsid w:val="000227CC"/>
    <w:rsid w:val="00022D47"/>
    <w:rsid w:val="00022EC2"/>
    <w:rsid w:val="00022F71"/>
    <w:rsid w:val="00023217"/>
    <w:rsid w:val="00023389"/>
    <w:rsid w:val="0002369B"/>
    <w:rsid w:val="00023790"/>
    <w:rsid w:val="00023877"/>
    <w:rsid w:val="00023D1B"/>
    <w:rsid w:val="00024028"/>
    <w:rsid w:val="0002448A"/>
    <w:rsid w:val="000246FC"/>
    <w:rsid w:val="00024777"/>
    <w:rsid w:val="00024AEC"/>
    <w:rsid w:val="00024E7F"/>
    <w:rsid w:val="000250FE"/>
    <w:rsid w:val="0002549A"/>
    <w:rsid w:val="00025836"/>
    <w:rsid w:val="00025A52"/>
    <w:rsid w:val="00025EC2"/>
    <w:rsid w:val="00025F6E"/>
    <w:rsid w:val="00026049"/>
    <w:rsid w:val="000260F0"/>
    <w:rsid w:val="000261B0"/>
    <w:rsid w:val="0002637B"/>
    <w:rsid w:val="0002657A"/>
    <w:rsid w:val="00026830"/>
    <w:rsid w:val="00026BEE"/>
    <w:rsid w:val="00026EEA"/>
    <w:rsid w:val="00027694"/>
    <w:rsid w:val="00027AA9"/>
    <w:rsid w:val="00027DBA"/>
    <w:rsid w:val="00027EC1"/>
    <w:rsid w:val="00030260"/>
    <w:rsid w:val="000307AE"/>
    <w:rsid w:val="0003089D"/>
    <w:rsid w:val="00030C4F"/>
    <w:rsid w:val="00031189"/>
    <w:rsid w:val="000311DD"/>
    <w:rsid w:val="0003123A"/>
    <w:rsid w:val="000312D6"/>
    <w:rsid w:val="00031528"/>
    <w:rsid w:val="00031821"/>
    <w:rsid w:val="000328D9"/>
    <w:rsid w:val="00032D3B"/>
    <w:rsid w:val="00032E09"/>
    <w:rsid w:val="00033786"/>
    <w:rsid w:val="00033B4A"/>
    <w:rsid w:val="00033BB6"/>
    <w:rsid w:val="00033F86"/>
    <w:rsid w:val="00034389"/>
    <w:rsid w:val="00034A61"/>
    <w:rsid w:val="00034DD7"/>
    <w:rsid w:val="00034E1F"/>
    <w:rsid w:val="0003523D"/>
    <w:rsid w:val="0003531E"/>
    <w:rsid w:val="00035609"/>
    <w:rsid w:val="00035E8F"/>
    <w:rsid w:val="00035ECC"/>
    <w:rsid w:val="00035F27"/>
    <w:rsid w:val="00036088"/>
    <w:rsid w:val="000360D3"/>
    <w:rsid w:val="000368F5"/>
    <w:rsid w:val="00036A35"/>
    <w:rsid w:val="00037412"/>
    <w:rsid w:val="00037480"/>
    <w:rsid w:val="00037885"/>
    <w:rsid w:val="000379BE"/>
    <w:rsid w:val="00037D7C"/>
    <w:rsid w:val="00040C2D"/>
    <w:rsid w:val="000411D0"/>
    <w:rsid w:val="0004121A"/>
    <w:rsid w:val="000414BC"/>
    <w:rsid w:val="00041A31"/>
    <w:rsid w:val="00041E00"/>
    <w:rsid w:val="00041FE9"/>
    <w:rsid w:val="000421F2"/>
    <w:rsid w:val="00042342"/>
    <w:rsid w:val="000425CD"/>
    <w:rsid w:val="000426E1"/>
    <w:rsid w:val="000427A8"/>
    <w:rsid w:val="00042E6E"/>
    <w:rsid w:val="00042E9C"/>
    <w:rsid w:val="00042EB6"/>
    <w:rsid w:val="00042F15"/>
    <w:rsid w:val="000431BE"/>
    <w:rsid w:val="00043409"/>
    <w:rsid w:val="000434E4"/>
    <w:rsid w:val="000436D1"/>
    <w:rsid w:val="00043715"/>
    <w:rsid w:val="000437CA"/>
    <w:rsid w:val="00043DA6"/>
    <w:rsid w:val="000440C5"/>
    <w:rsid w:val="0004443B"/>
    <w:rsid w:val="000445D1"/>
    <w:rsid w:val="0004470F"/>
    <w:rsid w:val="000449D7"/>
    <w:rsid w:val="00044A27"/>
    <w:rsid w:val="00044E62"/>
    <w:rsid w:val="00044FCE"/>
    <w:rsid w:val="0004527B"/>
    <w:rsid w:val="000453F9"/>
    <w:rsid w:val="00045A2B"/>
    <w:rsid w:val="00045A8A"/>
    <w:rsid w:val="00045CB4"/>
    <w:rsid w:val="00045E65"/>
    <w:rsid w:val="000468CE"/>
    <w:rsid w:val="00046E7F"/>
    <w:rsid w:val="00046FD3"/>
    <w:rsid w:val="00047097"/>
    <w:rsid w:val="0004785D"/>
    <w:rsid w:val="0004792A"/>
    <w:rsid w:val="000508FA"/>
    <w:rsid w:val="00050C67"/>
    <w:rsid w:val="00050C85"/>
    <w:rsid w:val="00050CAA"/>
    <w:rsid w:val="000512BB"/>
    <w:rsid w:val="000514C8"/>
    <w:rsid w:val="000514D2"/>
    <w:rsid w:val="00051519"/>
    <w:rsid w:val="0005176E"/>
    <w:rsid w:val="00051773"/>
    <w:rsid w:val="00051846"/>
    <w:rsid w:val="000522FA"/>
    <w:rsid w:val="0005231B"/>
    <w:rsid w:val="000523EE"/>
    <w:rsid w:val="000529F7"/>
    <w:rsid w:val="00052D77"/>
    <w:rsid w:val="00052FCF"/>
    <w:rsid w:val="0005310E"/>
    <w:rsid w:val="00053629"/>
    <w:rsid w:val="00053874"/>
    <w:rsid w:val="00053A98"/>
    <w:rsid w:val="00053B6F"/>
    <w:rsid w:val="00053FA2"/>
    <w:rsid w:val="000541D2"/>
    <w:rsid w:val="00054482"/>
    <w:rsid w:val="00054955"/>
    <w:rsid w:val="00054A43"/>
    <w:rsid w:val="00055DD3"/>
    <w:rsid w:val="00055FBB"/>
    <w:rsid w:val="0005636C"/>
    <w:rsid w:val="0005677D"/>
    <w:rsid w:val="00056D4E"/>
    <w:rsid w:val="000575BA"/>
    <w:rsid w:val="000579A8"/>
    <w:rsid w:val="00057A06"/>
    <w:rsid w:val="00057CC0"/>
    <w:rsid w:val="00060415"/>
    <w:rsid w:val="000605EA"/>
    <w:rsid w:val="00060C00"/>
    <w:rsid w:val="00061048"/>
    <w:rsid w:val="000621C2"/>
    <w:rsid w:val="00062250"/>
    <w:rsid w:val="00062286"/>
    <w:rsid w:val="00062425"/>
    <w:rsid w:val="00062B52"/>
    <w:rsid w:val="00063158"/>
    <w:rsid w:val="0006338F"/>
    <w:rsid w:val="00063636"/>
    <w:rsid w:val="00063F68"/>
    <w:rsid w:val="00063FA3"/>
    <w:rsid w:val="000641AA"/>
    <w:rsid w:val="0006423F"/>
    <w:rsid w:val="0006426A"/>
    <w:rsid w:val="000646F7"/>
    <w:rsid w:val="000646FD"/>
    <w:rsid w:val="000647AE"/>
    <w:rsid w:val="00064867"/>
    <w:rsid w:val="00064B36"/>
    <w:rsid w:val="00065284"/>
    <w:rsid w:val="0006546B"/>
    <w:rsid w:val="000657B2"/>
    <w:rsid w:val="00065E88"/>
    <w:rsid w:val="00066337"/>
    <w:rsid w:val="00066948"/>
    <w:rsid w:val="00066AC5"/>
    <w:rsid w:val="0006722E"/>
    <w:rsid w:val="0006736E"/>
    <w:rsid w:val="00067385"/>
    <w:rsid w:val="000673BF"/>
    <w:rsid w:val="00067733"/>
    <w:rsid w:val="00067964"/>
    <w:rsid w:val="00067A25"/>
    <w:rsid w:val="00067C07"/>
    <w:rsid w:val="000700CC"/>
    <w:rsid w:val="000706C2"/>
    <w:rsid w:val="000708A8"/>
    <w:rsid w:val="000709B9"/>
    <w:rsid w:val="00070F24"/>
    <w:rsid w:val="00070F95"/>
    <w:rsid w:val="00071020"/>
    <w:rsid w:val="00071201"/>
    <w:rsid w:val="00071EC9"/>
    <w:rsid w:val="00071FE6"/>
    <w:rsid w:val="00072550"/>
    <w:rsid w:val="000726F0"/>
    <w:rsid w:val="00072797"/>
    <w:rsid w:val="00072C3D"/>
    <w:rsid w:val="000731AE"/>
    <w:rsid w:val="000731F1"/>
    <w:rsid w:val="00073264"/>
    <w:rsid w:val="00073D46"/>
    <w:rsid w:val="00073F7C"/>
    <w:rsid w:val="000740AA"/>
    <w:rsid w:val="00074C1F"/>
    <w:rsid w:val="0007506C"/>
    <w:rsid w:val="0007574A"/>
    <w:rsid w:val="000763AD"/>
    <w:rsid w:val="000768EC"/>
    <w:rsid w:val="00076B1A"/>
    <w:rsid w:val="00076B25"/>
    <w:rsid w:val="00076BF1"/>
    <w:rsid w:val="00076C3B"/>
    <w:rsid w:val="00076D49"/>
    <w:rsid w:val="00077548"/>
    <w:rsid w:val="000779A4"/>
    <w:rsid w:val="00077D3C"/>
    <w:rsid w:val="00077F10"/>
    <w:rsid w:val="000800F6"/>
    <w:rsid w:val="00080230"/>
    <w:rsid w:val="000804A3"/>
    <w:rsid w:val="000811F0"/>
    <w:rsid w:val="0008145B"/>
    <w:rsid w:val="00081922"/>
    <w:rsid w:val="00081EC3"/>
    <w:rsid w:val="00081F8C"/>
    <w:rsid w:val="000823A0"/>
    <w:rsid w:val="00082747"/>
    <w:rsid w:val="0008290B"/>
    <w:rsid w:val="00082F3B"/>
    <w:rsid w:val="000830D8"/>
    <w:rsid w:val="00083432"/>
    <w:rsid w:val="00083491"/>
    <w:rsid w:val="000834E1"/>
    <w:rsid w:val="0008372A"/>
    <w:rsid w:val="000838EA"/>
    <w:rsid w:val="00083A57"/>
    <w:rsid w:val="0008430B"/>
    <w:rsid w:val="0008433F"/>
    <w:rsid w:val="00084AAF"/>
    <w:rsid w:val="00084DBD"/>
    <w:rsid w:val="00085174"/>
    <w:rsid w:val="0008543C"/>
    <w:rsid w:val="0008579F"/>
    <w:rsid w:val="00085C75"/>
    <w:rsid w:val="00085CE8"/>
    <w:rsid w:val="00086141"/>
    <w:rsid w:val="0008620E"/>
    <w:rsid w:val="00086747"/>
    <w:rsid w:val="00086A50"/>
    <w:rsid w:val="00086C0D"/>
    <w:rsid w:val="00086ECF"/>
    <w:rsid w:val="000871A0"/>
    <w:rsid w:val="00087405"/>
    <w:rsid w:val="000874B5"/>
    <w:rsid w:val="00087814"/>
    <w:rsid w:val="00087BBA"/>
    <w:rsid w:val="00087CCE"/>
    <w:rsid w:val="00087FD4"/>
    <w:rsid w:val="00090364"/>
    <w:rsid w:val="00090430"/>
    <w:rsid w:val="00090453"/>
    <w:rsid w:val="00090B7F"/>
    <w:rsid w:val="000912CC"/>
    <w:rsid w:val="000913F9"/>
    <w:rsid w:val="00091EC5"/>
    <w:rsid w:val="00091F5B"/>
    <w:rsid w:val="00092DA1"/>
    <w:rsid w:val="00092E10"/>
    <w:rsid w:val="000934A3"/>
    <w:rsid w:val="000936FE"/>
    <w:rsid w:val="000937F4"/>
    <w:rsid w:val="00093902"/>
    <w:rsid w:val="00093F9B"/>
    <w:rsid w:val="000943C1"/>
    <w:rsid w:val="00094600"/>
    <w:rsid w:val="0009464A"/>
    <w:rsid w:val="00094A86"/>
    <w:rsid w:val="00094BDF"/>
    <w:rsid w:val="00094E27"/>
    <w:rsid w:val="00094F04"/>
    <w:rsid w:val="0009535D"/>
    <w:rsid w:val="00095658"/>
    <w:rsid w:val="00095830"/>
    <w:rsid w:val="00095A7E"/>
    <w:rsid w:val="0009608A"/>
    <w:rsid w:val="00096DAC"/>
    <w:rsid w:val="0009722E"/>
    <w:rsid w:val="000977EA"/>
    <w:rsid w:val="0009793F"/>
    <w:rsid w:val="00097E3D"/>
    <w:rsid w:val="000A0670"/>
    <w:rsid w:val="000A0B51"/>
    <w:rsid w:val="000A0BCE"/>
    <w:rsid w:val="000A0FA8"/>
    <w:rsid w:val="000A109F"/>
    <w:rsid w:val="000A117B"/>
    <w:rsid w:val="000A15F0"/>
    <w:rsid w:val="000A16A4"/>
    <w:rsid w:val="000A177C"/>
    <w:rsid w:val="000A1830"/>
    <w:rsid w:val="000A19DD"/>
    <w:rsid w:val="000A1BA5"/>
    <w:rsid w:val="000A1C80"/>
    <w:rsid w:val="000A1F2E"/>
    <w:rsid w:val="000A22A5"/>
    <w:rsid w:val="000A2694"/>
    <w:rsid w:val="000A276B"/>
    <w:rsid w:val="000A276E"/>
    <w:rsid w:val="000A3AFC"/>
    <w:rsid w:val="000A3C6F"/>
    <w:rsid w:val="000A4000"/>
    <w:rsid w:val="000A4871"/>
    <w:rsid w:val="000A49AE"/>
    <w:rsid w:val="000A4FC6"/>
    <w:rsid w:val="000A5155"/>
    <w:rsid w:val="000A517F"/>
    <w:rsid w:val="000A520C"/>
    <w:rsid w:val="000A5430"/>
    <w:rsid w:val="000A578E"/>
    <w:rsid w:val="000A580F"/>
    <w:rsid w:val="000A5A9D"/>
    <w:rsid w:val="000A5B4D"/>
    <w:rsid w:val="000A5C8C"/>
    <w:rsid w:val="000A670E"/>
    <w:rsid w:val="000A69BF"/>
    <w:rsid w:val="000A6AA5"/>
    <w:rsid w:val="000A6BAF"/>
    <w:rsid w:val="000A6C4C"/>
    <w:rsid w:val="000A6CA5"/>
    <w:rsid w:val="000A6D52"/>
    <w:rsid w:val="000A71D8"/>
    <w:rsid w:val="000A7AB8"/>
    <w:rsid w:val="000A7DC5"/>
    <w:rsid w:val="000B0F0A"/>
    <w:rsid w:val="000B0FD4"/>
    <w:rsid w:val="000B12BF"/>
    <w:rsid w:val="000B13C6"/>
    <w:rsid w:val="000B187A"/>
    <w:rsid w:val="000B19E5"/>
    <w:rsid w:val="000B1C68"/>
    <w:rsid w:val="000B238E"/>
    <w:rsid w:val="000B24D6"/>
    <w:rsid w:val="000B2552"/>
    <w:rsid w:val="000B2848"/>
    <w:rsid w:val="000B2B68"/>
    <w:rsid w:val="000B2DEA"/>
    <w:rsid w:val="000B3062"/>
    <w:rsid w:val="000B3376"/>
    <w:rsid w:val="000B3713"/>
    <w:rsid w:val="000B39A0"/>
    <w:rsid w:val="000B3A93"/>
    <w:rsid w:val="000B44C9"/>
    <w:rsid w:val="000B4D05"/>
    <w:rsid w:val="000B542F"/>
    <w:rsid w:val="000B575B"/>
    <w:rsid w:val="000B6664"/>
    <w:rsid w:val="000B66A0"/>
    <w:rsid w:val="000B6719"/>
    <w:rsid w:val="000B6867"/>
    <w:rsid w:val="000B6A58"/>
    <w:rsid w:val="000B7192"/>
    <w:rsid w:val="000B7246"/>
    <w:rsid w:val="000B753F"/>
    <w:rsid w:val="000B755D"/>
    <w:rsid w:val="000B777D"/>
    <w:rsid w:val="000B77F8"/>
    <w:rsid w:val="000B7C7C"/>
    <w:rsid w:val="000C0ADF"/>
    <w:rsid w:val="000C1662"/>
    <w:rsid w:val="000C17A7"/>
    <w:rsid w:val="000C19EC"/>
    <w:rsid w:val="000C1B8E"/>
    <w:rsid w:val="000C2054"/>
    <w:rsid w:val="000C216E"/>
    <w:rsid w:val="000C261A"/>
    <w:rsid w:val="000C2687"/>
    <w:rsid w:val="000C27A0"/>
    <w:rsid w:val="000C296E"/>
    <w:rsid w:val="000C2AAE"/>
    <w:rsid w:val="000C3447"/>
    <w:rsid w:val="000C3DF7"/>
    <w:rsid w:val="000C3F16"/>
    <w:rsid w:val="000C4014"/>
    <w:rsid w:val="000C432A"/>
    <w:rsid w:val="000C471A"/>
    <w:rsid w:val="000C4F32"/>
    <w:rsid w:val="000C507F"/>
    <w:rsid w:val="000C50F9"/>
    <w:rsid w:val="000C5507"/>
    <w:rsid w:val="000C562B"/>
    <w:rsid w:val="000C5897"/>
    <w:rsid w:val="000C59DD"/>
    <w:rsid w:val="000C5A25"/>
    <w:rsid w:val="000C5C48"/>
    <w:rsid w:val="000C634C"/>
    <w:rsid w:val="000C63E0"/>
    <w:rsid w:val="000C65AE"/>
    <w:rsid w:val="000C6609"/>
    <w:rsid w:val="000C6707"/>
    <w:rsid w:val="000C6844"/>
    <w:rsid w:val="000C6D10"/>
    <w:rsid w:val="000C6EB7"/>
    <w:rsid w:val="000C7028"/>
    <w:rsid w:val="000C71EB"/>
    <w:rsid w:val="000C74BF"/>
    <w:rsid w:val="000C76D4"/>
    <w:rsid w:val="000C78C0"/>
    <w:rsid w:val="000C7B71"/>
    <w:rsid w:val="000C7B73"/>
    <w:rsid w:val="000C7D2B"/>
    <w:rsid w:val="000C7D8C"/>
    <w:rsid w:val="000D010A"/>
    <w:rsid w:val="000D0488"/>
    <w:rsid w:val="000D0813"/>
    <w:rsid w:val="000D0A6F"/>
    <w:rsid w:val="000D1058"/>
    <w:rsid w:val="000D10FF"/>
    <w:rsid w:val="000D11CF"/>
    <w:rsid w:val="000D184C"/>
    <w:rsid w:val="000D1AA2"/>
    <w:rsid w:val="000D24D9"/>
    <w:rsid w:val="000D2B43"/>
    <w:rsid w:val="000D2CA1"/>
    <w:rsid w:val="000D3508"/>
    <w:rsid w:val="000D364F"/>
    <w:rsid w:val="000D37B4"/>
    <w:rsid w:val="000D39B5"/>
    <w:rsid w:val="000D40E8"/>
    <w:rsid w:val="000D42EB"/>
    <w:rsid w:val="000D44B9"/>
    <w:rsid w:val="000D45B9"/>
    <w:rsid w:val="000D477F"/>
    <w:rsid w:val="000D48B7"/>
    <w:rsid w:val="000D4B7C"/>
    <w:rsid w:val="000D4EC3"/>
    <w:rsid w:val="000D4F3D"/>
    <w:rsid w:val="000D53A7"/>
    <w:rsid w:val="000D5567"/>
    <w:rsid w:val="000D5720"/>
    <w:rsid w:val="000D5DDC"/>
    <w:rsid w:val="000D63B4"/>
    <w:rsid w:val="000D6901"/>
    <w:rsid w:val="000D6F58"/>
    <w:rsid w:val="000D7D74"/>
    <w:rsid w:val="000E0486"/>
    <w:rsid w:val="000E05A1"/>
    <w:rsid w:val="000E0695"/>
    <w:rsid w:val="000E0C6E"/>
    <w:rsid w:val="000E0E4F"/>
    <w:rsid w:val="000E0FEB"/>
    <w:rsid w:val="000E1B48"/>
    <w:rsid w:val="000E25E5"/>
    <w:rsid w:val="000E284F"/>
    <w:rsid w:val="000E2C57"/>
    <w:rsid w:val="000E360A"/>
    <w:rsid w:val="000E3CE6"/>
    <w:rsid w:val="000E3E41"/>
    <w:rsid w:val="000E3F55"/>
    <w:rsid w:val="000E422E"/>
    <w:rsid w:val="000E4627"/>
    <w:rsid w:val="000E5023"/>
    <w:rsid w:val="000E506E"/>
    <w:rsid w:val="000E5828"/>
    <w:rsid w:val="000E5B20"/>
    <w:rsid w:val="000E625F"/>
    <w:rsid w:val="000E62EB"/>
    <w:rsid w:val="000E63CF"/>
    <w:rsid w:val="000E66AF"/>
    <w:rsid w:val="000E6983"/>
    <w:rsid w:val="000E69A6"/>
    <w:rsid w:val="000E6CF6"/>
    <w:rsid w:val="000E6DB8"/>
    <w:rsid w:val="000E7519"/>
    <w:rsid w:val="000E7FA7"/>
    <w:rsid w:val="000F017B"/>
    <w:rsid w:val="000F0253"/>
    <w:rsid w:val="000F035B"/>
    <w:rsid w:val="000F1176"/>
    <w:rsid w:val="000F1697"/>
    <w:rsid w:val="000F16B1"/>
    <w:rsid w:val="000F1882"/>
    <w:rsid w:val="000F223E"/>
    <w:rsid w:val="000F22F2"/>
    <w:rsid w:val="000F279F"/>
    <w:rsid w:val="000F2902"/>
    <w:rsid w:val="000F2B94"/>
    <w:rsid w:val="000F2EE1"/>
    <w:rsid w:val="000F316C"/>
    <w:rsid w:val="000F3A60"/>
    <w:rsid w:val="000F42C0"/>
    <w:rsid w:val="000F441E"/>
    <w:rsid w:val="000F4AC6"/>
    <w:rsid w:val="000F4C01"/>
    <w:rsid w:val="000F5F05"/>
    <w:rsid w:val="000F6214"/>
    <w:rsid w:val="000F6525"/>
    <w:rsid w:val="000F668D"/>
    <w:rsid w:val="000F69FB"/>
    <w:rsid w:val="000F6A82"/>
    <w:rsid w:val="000F6F5E"/>
    <w:rsid w:val="000F72CB"/>
    <w:rsid w:val="000F7C32"/>
    <w:rsid w:val="00100400"/>
    <w:rsid w:val="001004E4"/>
    <w:rsid w:val="001007C9"/>
    <w:rsid w:val="0010127A"/>
    <w:rsid w:val="001016E3"/>
    <w:rsid w:val="00102329"/>
    <w:rsid w:val="001023F2"/>
    <w:rsid w:val="0010260C"/>
    <w:rsid w:val="0010268B"/>
    <w:rsid w:val="001027F6"/>
    <w:rsid w:val="00102B71"/>
    <w:rsid w:val="001037CE"/>
    <w:rsid w:val="00103A58"/>
    <w:rsid w:val="00103DF5"/>
    <w:rsid w:val="00103F39"/>
    <w:rsid w:val="0010407F"/>
    <w:rsid w:val="001046CA"/>
    <w:rsid w:val="00104867"/>
    <w:rsid w:val="00104A17"/>
    <w:rsid w:val="00104B69"/>
    <w:rsid w:val="00104BEE"/>
    <w:rsid w:val="0010593C"/>
    <w:rsid w:val="001059FA"/>
    <w:rsid w:val="00105F94"/>
    <w:rsid w:val="0010623C"/>
    <w:rsid w:val="001062B1"/>
    <w:rsid w:val="001064B7"/>
    <w:rsid w:val="00106AEE"/>
    <w:rsid w:val="00107A01"/>
    <w:rsid w:val="00107BA9"/>
    <w:rsid w:val="00107D9A"/>
    <w:rsid w:val="0011012E"/>
    <w:rsid w:val="00110165"/>
    <w:rsid w:val="00110321"/>
    <w:rsid w:val="00110E37"/>
    <w:rsid w:val="0011109E"/>
    <w:rsid w:val="0011169D"/>
    <w:rsid w:val="0011169E"/>
    <w:rsid w:val="00111A9A"/>
    <w:rsid w:val="00112589"/>
    <w:rsid w:val="001128C4"/>
    <w:rsid w:val="00112974"/>
    <w:rsid w:val="00112D17"/>
    <w:rsid w:val="0011331E"/>
    <w:rsid w:val="00113461"/>
    <w:rsid w:val="00113828"/>
    <w:rsid w:val="001139C3"/>
    <w:rsid w:val="00113B35"/>
    <w:rsid w:val="00113BEB"/>
    <w:rsid w:val="001140C6"/>
    <w:rsid w:val="00114215"/>
    <w:rsid w:val="00114564"/>
    <w:rsid w:val="00114574"/>
    <w:rsid w:val="0011471E"/>
    <w:rsid w:val="00114955"/>
    <w:rsid w:val="00114E43"/>
    <w:rsid w:val="001152B9"/>
    <w:rsid w:val="0011543E"/>
    <w:rsid w:val="0011588C"/>
    <w:rsid w:val="0011589B"/>
    <w:rsid w:val="00115924"/>
    <w:rsid w:val="00115A39"/>
    <w:rsid w:val="00115C55"/>
    <w:rsid w:val="00115F1F"/>
    <w:rsid w:val="00116032"/>
    <w:rsid w:val="0011641A"/>
    <w:rsid w:val="001166DD"/>
    <w:rsid w:val="00116A27"/>
    <w:rsid w:val="00116A54"/>
    <w:rsid w:val="00116DEB"/>
    <w:rsid w:val="00116F6B"/>
    <w:rsid w:val="001176A9"/>
    <w:rsid w:val="00117724"/>
    <w:rsid w:val="00117D2C"/>
    <w:rsid w:val="00117D3B"/>
    <w:rsid w:val="00120042"/>
    <w:rsid w:val="00120379"/>
    <w:rsid w:val="001206E2"/>
    <w:rsid w:val="001206F4"/>
    <w:rsid w:val="001209D6"/>
    <w:rsid w:val="00120AF2"/>
    <w:rsid w:val="00120EDF"/>
    <w:rsid w:val="00121CE8"/>
    <w:rsid w:val="001223BC"/>
    <w:rsid w:val="00122427"/>
    <w:rsid w:val="00122AE9"/>
    <w:rsid w:val="00122B1F"/>
    <w:rsid w:val="0012324C"/>
    <w:rsid w:val="0012334C"/>
    <w:rsid w:val="0012356E"/>
    <w:rsid w:val="001236AD"/>
    <w:rsid w:val="0012394F"/>
    <w:rsid w:val="00123A3E"/>
    <w:rsid w:val="00123A9B"/>
    <w:rsid w:val="00123C67"/>
    <w:rsid w:val="001245D8"/>
    <w:rsid w:val="00124658"/>
    <w:rsid w:val="001248A3"/>
    <w:rsid w:val="00124E86"/>
    <w:rsid w:val="00125038"/>
    <w:rsid w:val="00125308"/>
    <w:rsid w:val="001253ED"/>
    <w:rsid w:val="00125451"/>
    <w:rsid w:val="00125682"/>
    <w:rsid w:val="00125A1C"/>
    <w:rsid w:val="00125D7F"/>
    <w:rsid w:val="0012628D"/>
    <w:rsid w:val="00126589"/>
    <w:rsid w:val="00126753"/>
    <w:rsid w:val="0012684F"/>
    <w:rsid w:val="00126985"/>
    <w:rsid w:val="00126C4A"/>
    <w:rsid w:val="00126C92"/>
    <w:rsid w:val="00127300"/>
    <w:rsid w:val="00127350"/>
    <w:rsid w:val="00127E61"/>
    <w:rsid w:val="00130412"/>
    <w:rsid w:val="001306D3"/>
    <w:rsid w:val="00130B37"/>
    <w:rsid w:val="00130B62"/>
    <w:rsid w:val="00130BDE"/>
    <w:rsid w:val="00130C3D"/>
    <w:rsid w:val="00130F0F"/>
    <w:rsid w:val="00130F50"/>
    <w:rsid w:val="001310E6"/>
    <w:rsid w:val="00131239"/>
    <w:rsid w:val="0013128E"/>
    <w:rsid w:val="00131800"/>
    <w:rsid w:val="00131A56"/>
    <w:rsid w:val="0013236E"/>
    <w:rsid w:val="00132B4A"/>
    <w:rsid w:val="00132B83"/>
    <w:rsid w:val="00132DD6"/>
    <w:rsid w:val="00133293"/>
    <w:rsid w:val="00133552"/>
    <w:rsid w:val="001335D4"/>
    <w:rsid w:val="00133922"/>
    <w:rsid w:val="00133ED7"/>
    <w:rsid w:val="0013413E"/>
    <w:rsid w:val="00134242"/>
    <w:rsid w:val="001343C1"/>
    <w:rsid w:val="00134A18"/>
    <w:rsid w:val="00134A8B"/>
    <w:rsid w:val="00134B26"/>
    <w:rsid w:val="00134D0C"/>
    <w:rsid w:val="00134D7B"/>
    <w:rsid w:val="001350D2"/>
    <w:rsid w:val="00135138"/>
    <w:rsid w:val="00135386"/>
    <w:rsid w:val="0013573A"/>
    <w:rsid w:val="0013578E"/>
    <w:rsid w:val="001357E4"/>
    <w:rsid w:val="00135A70"/>
    <w:rsid w:val="00135DAC"/>
    <w:rsid w:val="0013645A"/>
    <w:rsid w:val="001365F0"/>
    <w:rsid w:val="00136C6A"/>
    <w:rsid w:val="00136CE4"/>
    <w:rsid w:val="00136D0E"/>
    <w:rsid w:val="00136FC2"/>
    <w:rsid w:val="00137161"/>
    <w:rsid w:val="001375E6"/>
    <w:rsid w:val="001378C6"/>
    <w:rsid w:val="001378DB"/>
    <w:rsid w:val="00137A1D"/>
    <w:rsid w:val="00137C38"/>
    <w:rsid w:val="0014029D"/>
    <w:rsid w:val="001402C5"/>
    <w:rsid w:val="00140794"/>
    <w:rsid w:val="001407CB"/>
    <w:rsid w:val="0014086E"/>
    <w:rsid w:val="00140B9F"/>
    <w:rsid w:val="0014141E"/>
    <w:rsid w:val="0014145A"/>
    <w:rsid w:val="001422FE"/>
    <w:rsid w:val="0014253C"/>
    <w:rsid w:val="00142A17"/>
    <w:rsid w:val="00142E2E"/>
    <w:rsid w:val="001430C6"/>
    <w:rsid w:val="001436AE"/>
    <w:rsid w:val="00143C0B"/>
    <w:rsid w:val="00143C54"/>
    <w:rsid w:val="00143E79"/>
    <w:rsid w:val="00144660"/>
    <w:rsid w:val="001449C7"/>
    <w:rsid w:val="00144BF6"/>
    <w:rsid w:val="0014529C"/>
    <w:rsid w:val="00145512"/>
    <w:rsid w:val="00145671"/>
    <w:rsid w:val="00145BFF"/>
    <w:rsid w:val="001465B6"/>
    <w:rsid w:val="00146CDC"/>
    <w:rsid w:val="00147525"/>
    <w:rsid w:val="00147EE8"/>
    <w:rsid w:val="00150074"/>
    <w:rsid w:val="0015026E"/>
    <w:rsid w:val="00150298"/>
    <w:rsid w:val="001510B8"/>
    <w:rsid w:val="001511E6"/>
    <w:rsid w:val="001516A6"/>
    <w:rsid w:val="00151E66"/>
    <w:rsid w:val="00152455"/>
    <w:rsid w:val="00152718"/>
    <w:rsid w:val="001527B3"/>
    <w:rsid w:val="001529AF"/>
    <w:rsid w:val="00152A18"/>
    <w:rsid w:val="00152F46"/>
    <w:rsid w:val="001531E7"/>
    <w:rsid w:val="0015389B"/>
    <w:rsid w:val="00153A80"/>
    <w:rsid w:val="00153C1F"/>
    <w:rsid w:val="00154597"/>
    <w:rsid w:val="00154B3E"/>
    <w:rsid w:val="00154CEB"/>
    <w:rsid w:val="00154EC0"/>
    <w:rsid w:val="00155212"/>
    <w:rsid w:val="0015577C"/>
    <w:rsid w:val="00155950"/>
    <w:rsid w:val="00155A1D"/>
    <w:rsid w:val="00155D0C"/>
    <w:rsid w:val="001560FF"/>
    <w:rsid w:val="001564EE"/>
    <w:rsid w:val="00156BFA"/>
    <w:rsid w:val="0015751B"/>
    <w:rsid w:val="00157813"/>
    <w:rsid w:val="00157B63"/>
    <w:rsid w:val="00160163"/>
    <w:rsid w:val="0016028D"/>
    <w:rsid w:val="00160779"/>
    <w:rsid w:val="001607AE"/>
    <w:rsid w:val="00160A4B"/>
    <w:rsid w:val="00160FA9"/>
    <w:rsid w:val="001610F5"/>
    <w:rsid w:val="00161B6D"/>
    <w:rsid w:val="00161F7A"/>
    <w:rsid w:val="00162054"/>
    <w:rsid w:val="001620F8"/>
    <w:rsid w:val="00162144"/>
    <w:rsid w:val="0016257F"/>
    <w:rsid w:val="0016260D"/>
    <w:rsid w:val="0016269F"/>
    <w:rsid w:val="00162876"/>
    <w:rsid w:val="00162EE8"/>
    <w:rsid w:val="00162FB4"/>
    <w:rsid w:val="001634A1"/>
    <w:rsid w:val="00163702"/>
    <w:rsid w:val="00163DEF"/>
    <w:rsid w:val="00164196"/>
    <w:rsid w:val="001641F5"/>
    <w:rsid w:val="001642EF"/>
    <w:rsid w:val="0016495B"/>
    <w:rsid w:val="00165021"/>
    <w:rsid w:val="00165498"/>
    <w:rsid w:val="001657A6"/>
    <w:rsid w:val="00165978"/>
    <w:rsid w:val="00165BD0"/>
    <w:rsid w:val="00165E05"/>
    <w:rsid w:val="00165F35"/>
    <w:rsid w:val="0016609D"/>
    <w:rsid w:val="001660A5"/>
    <w:rsid w:val="001662C3"/>
    <w:rsid w:val="001662D4"/>
    <w:rsid w:val="001664E9"/>
    <w:rsid w:val="00166538"/>
    <w:rsid w:val="0016678C"/>
    <w:rsid w:val="00166869"/>
    <w:rsid w:val="0016690F"/>
    <w:rsid w:val="001669DA"/>
    <w:rsid w:val="00166A9F"/>
    <w:rsid w:val="001671A8"/>
    <w:rsid w:val="00167593"/>
    <w:rsid w:val="00167879"/>
    <w:rsid w:val="00167EA7"/>
    <w:rsid w:val="001702E7"/>
    <w:rsid w:val="001705A0"/>
    <w:rsid w:val="0017068F"/>
    <w:rsid w:val="00170BB3"/>
    <w:rsid w:val="00170C39"/>
    <w:rsid w:val="00170C3A"/>
    <w:rsid w:val="00170F77"/>
    <w:rsid w:val="0017117F"/>
    <w:rsid w:val="00171435"/>
    <w:rsid w:val="00171699"/>
    <w:rsid w:val="00171753"/>
    <w:rsid w:val="00171A7F"/>
    <w:rsid w:val="00171F3C"/>
    <w:rsid w:val="00172B9D"/>
    <w:rsid w:val="00172D79"/>
    <w:rsid w:val="0017308D"/>
    <w:rsid w:val="001734E8"/>
    <w:rsid w:val="00173978"/>
    <w:rsid w:val="00173C56"/>
    <w:rsid w:val="00173F2A"/>
    <w:rsid w:val="00173FD4"/>
    <w:rsid w:val="00175487"/>
    <w:rsid w:val="0017554B"/>
    <w:rsid w:val="00175555"/>
    <w:rsid w:val="0017599B"/>
    <w:rsid w:val="00175CBA"/>
    <w:rsid w:val="00175D3E"/>
    <w:rsid w:val="001765DE"/>
    <w:rsid w:val="001766BF"/>
    <w:rsid w:val="00177041"/>
    <w:rsid w:val="001771ED"/>
    <w:rsid w:val="00177566"/>
    <w:rsid w:val="001775D4"/>
    <w:rsid w:val="00177766"/>
    <w:rsid w:val="00177A3E"/>
    <w:rsid w:val="00177AA7"/>
    <w:rsid w:val="00177E32"/>
    <w:rsid w:val="001800B6"/>
    <w:rsid w:val="00180A5D"/>
    <w:rsid w:val="00180BD8"/>
    <w:rsid w:val="00181ADD"/>
    <w:rsid w:val="00181BB7"/>
    <w:rsid w:val="00181F02"/>
    <w:rsid w:val="0018200A"/>
    <w:rsid w:val="0018257E"/>
    <w:rsid w:val="00182687"/>
    <w:rsid w:val="00182B0A"/>
    <w:rsid w:val="00183475"/>
    <w:rsid w:val="00183483"/>
    <w:rsid w:val="0018399F"/>
    <w:rsid w:val="00183C02"/>
    <w:rsid w:val="00183D55"/>
    <w:rsid w:val="0018423B"/>
    <w:rsid w:val="001843A0"/>
    <w:rsid w:val="00184B97"/>
    <w:rsid w:val="00184D0F"/>
    <w:rsid w:val="00184E2E"/>
    <w:rsid w:val="0018508C"/>
    <w:rsid w:val="00185473"/>
    <w:rsid w:val="0018559C"/>
    <w:rsid w:val="00185858"/>
    <w:rsid w:val="00186187"/>
    <w:rsid w:val="001862B2"/>
    <w:rsid w:val="00186D36"/>
    <w:rsid w:val="001875A7"/>
    <w:rsid w:val="001877E7"/>
    <w:rsid w:val="00187D58"/>
    <w:rsid w:val="001901A6"/>
    <w:rsid w:val="001905F0"/>
    <w:rsid w:val="001906A4"/>
    <w:rsid w:val="00190A51"/>
    <w:rsid w:val="00190BFE"/>
    <w:rsid w:val="001912D9"/>
    <w:rsid w:val="0019140C"/>
    <w:rsid w:val="0019173B"/>
    <w:rsid w:val="0019196A"/>
    <w:rsid w:val="0019265C"/>
    <w:rsid w:val="0019269B"/>
    <w:rsid w:val="00192841"/>
    <w:rsid w:val="00192C95"/>
    <w:rsid w:val="00192DDE"/>
    <w:rsid w:val="0019349C"/>
    <w:rsid w:val="0019372C"/>
    <w:rsid w:val="001939E9"/>
    <w:rsid w:val="00193A85"/>
    <w:rsid w:val="00193AFF"/>
    <w:rsid w:val="00194181"/>
    <w:rsid w:val="001942C4"/>
    <w:rsid w:val="00194359"/>
    <w:rsid w:val="001947AE"/>
    <w:rsid w:val="00194DB9"/>
    <w:rsid w:val="00194E09"/>
    <w:rsid w:val="00195048"/>
    <w:rsid w:val="001954CF"/>
    <w:rsid w:val="00195C75"/>
    <w:rsid w:val="0019600B"/>
    <w:rsid w:val="0019653B"/>
    <w:rsid w:val="0019696D"/>
    <w:rsid w:val="0019736F"/>
    <w:rsid w:val="0019775D"/>
    <w:rsid w:val="001A00C3"/>
    <w:rsid w:val="001A083E"/>
    <w:rsid w:val="001A08BD"/>
    <w:rsid w:val="001A0BEB"/>
    <w:rsid w:val="001A13B7"/>
    <w:rsid w:val="001A176D"/>
    <w:rsid w:val="001A185C"/>
    <w:rsid w:val="001A1A37"/>
    <w:rsid w:val="001A1FC2"/>
    <w:rsid w:val="001A23ED"/>
    <w:rsid w:val="001A278E"/>
    <w:rsid w:val="001A287F"/>
    <w:rsid w:val="001A2A2D"/>
    <w:rsid w:val="001A2B7C"/>
    <w:rsid w:val="001A2C0D"/>
    <w:rsid w:val="001A2F50"/>
    <w:rsid w:val="001A3563"/>
    <w:rsid w:val="001A3846"/>
    <w:rsid w:val="001A3A35"/>
    <w:rsid w:val="001A43C9"/>
    <w:rsid w:val="001A43E5"/>
    <w:rsid w:val="001A45E4"/>
    <w:rsid w:val="001A4866"/>
    <w:rsid w:val="001A4A47"/>
    <w:rsid w:val="001A4BFE"/>
    <w:rsid w:val="001A4DA1"/>
    <w:rsid w:val="001A4DBF"/>
    <w:rsid w:val="001A4FA4"/>
    <w:rsid w:val="001A540F"/>
    <w:rsid w:val="001A5760"/>
    <w:rsid w:val="001A5814"/>
    <w:rsid w:val="001A5A74"/>
    <w:rsid w:val="001A5DD3"/>
    <w:rsid w:val="001A5FE4"/>
    <w:rsid w:val="001A602D"/>
    <w:rsid w:val="001A605D"/>
    <w:rsid w:val="001A6564"/>
    <w:rsid w:val="001A659D"/>
    <w:rsid w:val="001A67CE"/>
    <w:rsid w:val="001A7071"/>
    <w:rsid w:val="001A715C"/>
    <w:rsid w:val="001A7456"/>
    <w:rsid w:val="001A76D7"/>
    <w:rsid w:val="001A79DC"/>
    <w:rsid w:val="001A7BA9"/>
    <w:rsid w:val="001A7F96"/>
    <w:rsid w:val="001B01BC"/>
    <w:rsid w:val="001B0C6C"/>
    <w:rsid w:val="001B0F02"/>
    <w:rsid w:val="001B1517"/>
    <w:rsid w:val="001B161E"/>
    <w:rsid w:val="001B2015"/>
    <w:rsid w:val="001B201B"/>
    <w:rsid w:val="001B23B5"/>
    <w:rsid w:val="001B23D0"/>
    <w:rsid w:val="001B2730"/>
    <w:rsid w:val="001B2A14"/>
    <w:rsid w:val="001B2B25"/>
    <w:rsid w:val="001B2C26"/>
    <w:rsid w:val="001B31D6"/>
    <w:rsid w:val="001B347A"/>
    <w:rsid w:val="001B3779"/>
    <w:rsid w:val="001B3D08"/>
    <w:rsid w:val="001B408F"/>
    <w:rsid w:val="001B422E"/>
    <w:rsid w:val="001B4BF1"/>
    <w:rsid w:val="001B4CD5"/>
    <w:rsid w:val="001B55F2"/>
    <w:rsid w:val="001B6183"/>
    <w:rsid w:val="001B67B2"/>
    <w:rsid w:val="001B6817"/>
    <w:rsid w:val="001B688A"/>
    <w:rsid w:val="001B69FB"/>
    <w:rsid w:val="001B6AA2"/>
    <w:rsid w:val="001B6B32"/>
    <w:rsid w:val="001B775F"/>
    <w:rsid w:val="001B7E1B"/>
    <w:rsid w:val="001C025D"/>
    <w:rsid w:val="001C092C"/>
    <w:rsid w:val="001C093D"/>
    <w:rsid w:val="001C0A39"/>
    <w:rsid w:val="001C0FE4"/>
    <w:rsid w:val="001C17DE"/>
    <w:rsid w:val="001C1884"/>
    <w:rsid w:val="001C1EC1"/>
    <w:rsid w:val="001C1F44"/>
    <w:rsid w:val="001C2670"/>
    <w:rsid w:val="001C2924"/>
    <w:rsid w:val="001C292B"/>
    <w:rsid w:val="001C3274"/>
    <w:rsid w:val="001C3348"/>
    <w:rsid w:val="001C3639"/>
    <w:rsid w:val="001C3C39"/>
    <w:rsid w:val="001C405C"/>
    <w:rsid w:val="001C4513"/>
    <w:rsid w:val="001C4533"/>
    <w:rsid w:val="001C45BE"/>
    <w:rsid w:val="001C4967"/>
    <w:rsid w:val="001C4DC1"/>
    <w:rsid w:val="001C4E3A"/>
    <w:rsid w:val="001C511F"/>
    <w:rsid w:val="001C540E"/>
    <w:rsid w:val="001C591E"/>
    <w:rsid w:val="001C5B8C"/>
    <w:rsid w:val="001C62F8"/>
    <w:rsid w:val="001C6386"/>
    <w:rsid w:val="001C63BD"/>
    <w:rsid w:val="001C6503"/>
    <w:rsid w:val="001C655A"/>
    <w:rsid w:val="001C68D0"/>
    <w:rsid w:val="001C6DDB"/>
    <w:rsid w:val="001C7209"/>
    <w:rsid w:val="001C731F"/>
    <w:rsid w:val="001C76E5"/>
    <w:rsid w:val="001C7CC6"/>
    <w:rsid w:val="001D0163"/>
    <w:rsid w:val="001D0660"/>
    <w:rsid w:val="001D0D29"/>
    <w:rsid w:val="001D15F1"/>
    <w:rsid w:val="001D1966"/>
    <w:rsid w:val="001D1B39"/>
    <w:rsid w:val="001D1B81"/>
    <w:rsid w:val="001D1D2F"/>
    <w:rsid w:val="001D213B"/>
    <w:rsid w:val="001D239B"/>
    <w:rsid w:val="001D27B3"/>
    <w:rsid w:val="001D28AA"/>
    <w:rsid w:val="001D2910"/>
    <w:rsid w:val="001D2926"/>
    <w:rsid w:val="001D2CB3"/>
    <w:rsid w:val="001D327C"/>
    <w:rsid w:val="001D3303"/>
    <w:rsid w:val="001D3523"/>
    <w:rsid w:val="001D3773"/>
    <w:rsid w:val="001D3877"/>
    <w:rsid w:val="001D3895"/>
    <w:rsid w:val="001D39AD"/>
    <w:rsid w:val="001D3A2B"/>
    <w:rsid w:val="001D3BEE"/>
    <w:rsid w:val="001D3C87"/>
    <w:rsid w:val="001D3D34"/>
    <w:rsid w:val="001D3F77"/>
    <w:rsid w:val="001D4125"/>
    <w:rsid w:val="001D42F8"/>
    <w:rsid w:val="001D47F9"/>
    <w:rsid w:val="001D4952"/>
    <w:rsid w:val="001D4E3B"/>
    <w:rsid w:val="001D4F15"/>
    <w:rsid w:val="001D4FD2"/>
    <w:rsid w:val="001D5485"/>
    <w:rsid w:val="001D566E"/>
    <w:rsid w:val="001D574B"/>
    <w:rsid w:val="001D5961"/>
    <w:rsid w:val="001D5EAE"/>
    <w:rsid w:val="001D6CD3"/>
    <w:rsid w:val="001D6DE5"/>
    <w:rsid w:val="001D7182"/>
    <w:rsid w:val="001D746D"/>
    <w:rsid w:val="001D7556"/>
    <w:rsid w:val="001D7D74"/>
    <w:rsid w:val="001D7E7D"/>
    <w:rsid w:val="001E0135"/>
    <w:rsid w:val="001E0479"/>
    <w:rsid w:val="001E05E1"/>
    <w:rsid w:val="001E0EAD"/>
    <w:rsid w:val="001E0EC5"/>
    <w:rsid w:val="001E150C"/>
    <w:rsid w:val="001E174A"/>
    <w:rsid w:val="001E1AA9"/>
    <w:rsid w:val="001E1C04"/>
    <w:rsid w:val="001E1C94"/>
    <w:rsid w:val="001E229B"/>
    <w:rsid w:val="001E2416"/>
    <w:rsid w:val="001E2923"/>
    <w:rsid w:val="001E325D"/>
    <w:rsid w:val="001E351D"/>
    <w:rsid w:val="001E3E4C"/>
    <w:rsid w:val="001E40F4"/>
    <w:rsid w:val="001E4202"/>
    <w:rsid w:val="001E4B14"/>
    <w:rsid w:val="001E4F4D"/>
    <w:rsid w:val="001E55E7"/>
    <w:rsid w:val="001E5F82"/>
    <w:rsid w:val="001E63F3"/>
    <w:rsid w:val="001E679B"/>
    <w:rsid w:val="001E6BFB"/>
    <w:rsid w:val="001E79FF"/>
    <w:rsid w:val="001F008B"/>
    <w:rsid w:val="001F025B"/>
    <w:rsid w:val="001F0664"/>
    <w:rsid w:val="001F0728"/>
    <w:rsid w:val="001F0C34"/>
    <w:rsid w:val="001F0FB7"/>
    <w:rsid w:val="001F14FD"/>
    <w:rsid w:val="001F178E"/>
    <w:rsid w:val="001F192A"/>
    <w:rsid w:val="001F1FC2"/>
    <w:rsid w:val="001F206A"/>
    <w:rsid w:val="001F2879"/>
    <w:rsid w:val="001F2BE6"/>
    <w:rsid w:val="001F2C84"/>
    <w:rsid w:val="001F2CE1"/>
    <w:rsid w:val="001F31A4"/>
    <w:rsid w:val="001F331C"/>
    <w:rsid w:val="001F34A0"/>
    <w:rsid w:val="001F362C"/>
    <w:rsid w:val="001F3810"/>
    <w:rsid w:val="001F44A5"/>
    <w:rsid w:val="001F4901"/>
    <w:rsid w:val="001F4A38"/>
    <w:rsid w:val="001F4BD0"/>
    <w:rsid w:val="001F4CB2"/>
    <w:rsid w:val="001F4CF9"/>
    <w:rsid w:val="001F4D01"/>
    <w:rsid w:val="001F4D50"/>
    <w:rsid w:val="001F4FAA"/>
    <w:rsid w:val="001F5AC8"/>
    <w:rsid w:val="001F5D8F"/>
    <w:rsid w:val="001F633F"/>
    <w:rsid w:val="001F681B"/>
    <w:rsid w:val="001F6BCE"/>
    <w:rsid w:val="001F73B8"/>
    <w:rsid w:val="001F761D"/>
    <w:rsid w:val="001F7A7F"/>
    <w:rsid w:val="001F7EF1"/>
    <w:rsid w:val="0020113E"/>
    <w:rsid w:val="00201427"/>
    <w:rsid w:val="00201B05"/>
    <w:rsid w:val="00201DC5"/>
    <w:rsid w:val="00201E12"/>
    <w:rsid w:val="0020229F"/>
    <w:rsid w:val="002023A0"/>
    <w:rsid w:val="002023A7"/>
    <w:rsid w:val="002023CB"/>
    <w:rsid w:val="002024C9"/>
    <w:rsid w:val="0020261E"/>
    <w:rsid w:val="0020292F"/>
    <w:rsid w:val="002033EE"/>
    <w:rsid w:val="002034B7"/>
    <w:rsid w:val="002036EC"/>
    <w:rsid w:val="0020380C"/>
    <w:rsid w:val="00203A5B"/>
    <w:rsid w:val="00203DE4"/>
    <w:rsid w:val="002041D3"/>
    <w:rsid w:val="0020422C"/>
    <w:rsid w:val="00204682"/>
    <w:rsid w:val="0020497C"/>
    <w:rsid w:val="00204D42"/>
    <w:rsid w:val="00204D8E"/>
    <w:rsid w:val="002050FD"/>
    <w:rsid w:val="00205399"/>
    <w:rsid w:val="002054D9"/>
    <w:rsid w:val="00205903"/>
    <w:rsid w:val="002060C0"/>
    <w:rsid w:val="00206196"/>
    <w:rsid w:val="002068C5"/>
    <w:rsid w:val="00206933"/>
    <w:rsid w:val="002069E3"/>
    <w:rsid w:val="00206A94"/>
    <w:rsid w:val="00206C1D"/>
    <w:rsid w:val="00206F68"/>
    <w:rsid w:val="00206F8D"/>
    <w:rsid w:val="00207238"/>
    <w:rsid w:val="00207352"/>
    <w:rsid w:val="00207602"/>
    <w:rsid w:val="002078AD"/>
    <w:rsid w:val="00207942"/>
    <w:rsid w:val="00207F8D"/>
    <w:rsid w:val="002114F5"/>
    <w:rsid w:val="002118E7"/>
    <w:rsid w:val="00211BD4"/>
    <w:rsid w:val="00211C0B"/>
    <w:rsid w:val="00211D11"/>
    <w:rsid w:val="00211D70"/>
    <w:rsid w:val="002120BA"/>
    <w:rsid w:val="002121A4"/>
    <w:rsid w:val="002121FB"/>
    <w:rsid w:val="00212554"/>
    <w:rsid w:val="00212628"/>
    <w:rsid w:val="0021290E"/>
    <w:rsid w:val="00212ED3"/>
    <w:rsid w:val="002131C0"/>
    <w:rsid w:val="002132C2"/>
    <w:rsid w:val="00213A76"/>
    <w:rsid w:val="0021404A"/>
    <w:rsid w:val="00214166"/>
    <w:rsid w:val="00214555"/>
    <w:rsid w:val="0021466B"/>
    <w:rsid w:val="00214E51"/>
    <w:rsid w:val="002150E1"/>
    <w:rsid w:val="00215399"/>
    <w:rsid w:val="00215409"/>
    <w:rsid w:val="00215685"/>
    <w:rsid w:val="00215989"/>
    <w:rsid w:val="00216211"/>
    <w:rsid w:val="00216312"/>
    <w:rsid w:val="002165AF"/>
    <w:rsid w:val="00216B7A"/>
    <w:rsid w:val="00216D3E"/>
    <w:rsid w:val="002171FE"/>
    <w:rsid w:val="002178FE"/>
    <w:rsid w:val="00217C7F"/>
    <w:rsid w:val="00217EEA"/>
    <w:rsid w:val="0022009E"/>
    <w:rsid w:val="0022029E"/>
    <w:rsid w:val="002206FB"/>
    <w:rsid w:val="0022090E"/>
    <w:rsid w:val="00220CCA"/>
    <w:rsid w:val="00220FD1"/>
    <w:rsid w:val="002213B2"/>
    <w:rsid w:val="00221AEE"/>
    <w:rsid w:val="0022267C"/>
    <w:rsid w:val="0022380D"/>
    <w:rsid w:val="00223CC5"/>
    <w:rsid w:val="0022441F"/>
    <w:rsid w:val="00224623"/>
    <w:rsid w:val="002249EB"/>
    <w:rsid w:val="00224DA3"/>
    <w:rsid w:val="00225072"/>
    <w:rsid w:val="0022510E"/>
    <w:rsid w:val="0022550D"/>
    <w:rsid w:val="00225602"/>
    <w:rsid w:val="00225938"/>
    <w:rsid w:val="002261DA"/>
    <w:rsid w:val="00226270"/>
    <w:rsid w:val="0022634E"/>
    <w:rsid w:val="00226ACB"/>
    <w:rsid w:val="00227577"/>
    <w:rsid w:val="002276CE"/>
    <w:rsid w:val="00227E08"/>
    <w:rsid w:val="00227F91"/>
    <w:rsid w:val="00230422"/>
    <w:rsid w:val="00230BEA"/>
    <w:rsid w:val="00230C1D"/>
    <w:rsid w:val="00230D7D"/>
    <w:rsid w:val="00230E49"/>
    <w:rsid w:val="002315D0"/>
    <w:rsid w:val="0023174D"/>
    <w:rsid w:val="00231D25"/>
    <w:rsid w:val="00231DEB"/>
    <w:rsid w:val="00231F24"/>
    <w:rsid w:val="00231F34"/>
    <w:rsid w:val="00232064"/>
    <w:rsid w:val="0023209B"/>
    <w:rsid w:val="00232239"/>
    <w:rsid w:val="00232986"/>
    <w:rsid w:val="00232E0D"/>
    <w:rsid w:val="002332CE"/>
    <w:rsid w:val="00233440"/>
    <w:rsid w:val="002334AF"/>
    <w:rsid w:val="002337A4"/>
    <w:rsid w:val="00233A70"/>
    <w:rsid w:val="00233AB4"/>
    <w:rsid w:val="00233B13"/>
    <w:rsid w:val="00233B48"/>
    <w:rsid w:val="002345DE"/>
    <w:rsid w:val="0023461E"/>
    <w:rsid w:val="0023468C"/>
    <w:rsid w:val="00234BF8"/>
    <w:rsid w:val="00234DE0"/>
    <w:rsid w:val="0023501A"/>
    <w:rsid w:val="0023501F"/>
    <w:rsid w:val="0023541D"/>
    <w:rsid w:val="002354C2"/>
    <w:rsid w:val="002354CB"/>
    <w:rsid w:val="00235F33"/>
    <w:rsid w:val="00236317"/>
    <w:rsid w:val="00236805"/>
    <w:rsid w:val="00236E54"/>
    <w:rsid w:val="0023733E"/>
    <w:rsid w:val="002374EE"/>
    <w:rsid w:val="00237598"/>
    <w:rsid w:val="00237781"/>
    <w:rsid w:val="002377C1"/>
    <w:rsid w:val="00237A63"/>
    <w:rsid w:val="00237DBF"/>
    <w:rsid w:val="00237DEF"/>
    <w:rsid w:val="0024047E"/>
    <w:rsid w:val="002404E3"/>
    <w:rsid w:val="00240589"/>
    <w:rsid w:val="0024088F"/>
    <w:rsid w:val="00240BAB"/>
    <w:rsid w:val="00240DDA"/>
    <w:rsid w:val="002410DC"/>
    <w:rsid w:val="0024133B"/>
    <w:rsid w:val="002414E6"/>
    <w:rsid w:val="0024160F"/>
    <w:rsid w:val="00241946"/>
    <w:rsid w:val="00241C06"/>
    <w:rsid w:val="00241E07"/>
    <w:rsid w:val="002427C0"/>
    <w:rsid w:val="0024299D"/>
    <w:rsid w:val="002432C1"/>
    <w:rsid w:val="002433D1"/>
    <w:rsid w:val="00243772"/>
    <w:rsid w:val="002437FE"/>
    <w:rsid w:val="0024389C"/>
    <w:rsid w:val="002439CF"/>
    <w:rsid w:val="00243A80"/>
    <w:rsid w:val="0024405E"/>
    <w:rsid w:val="002440DD"/>
    <w:rsid w:val="002441FD"/>
    <w:rsid w:val="002446C1"/>
    <w:rsid w:val="0024482B"/>
    <w:rsid w:val="0024495D"/>
    <w:rsid w:val="00244B19"/>
    <w:rsid w:val="00244B4E"/>
    <w:rsid w:val="00244C72"/>
    <w:rsid w:val="00244FC7"/>
    <w:rsid w:val="002457A7"/>
    <w:rsid w:val="002458AE"/>
    <w:rsid w:val="00245B75"/>
    <w:rsid w:val="00245E44"/>
    <w:rsid w:val="00245F67"/>
    <w:rsid w:val="0024637B"/>
    <w:rsid w:val="00246430"/>
    <w:rsid w:val="00246720"/>
    <w:rsid w:val="00246D95"/>
    <w:rsid w:val="00246F97"/>
    <w:rsid w:val="002478B5"/>
    <w:rsid w:val="00247EAF"/>
    <w:rsid w:val="0025058C"/>
    <w:rsid w:val="002506A3"/>
    <w:rsid w:val="00250BBC"/>
    <w:rsid w:val="00251282"/>
    <w:rsid w:val="00251FCD"/>
    <w:rsid w:val="00252597"/>
    <w:rsid w:val="002526A7"/>
    <w:rsid w:val="00252AA2"/>
    <w:rsid w:val="0025374C"/>
    <w:rsid w:val="00253752"/>
    <w:rsid w:val="00253FD7"/>
    <w:rsid w:val="00253FE8"/>
    <w:rsid w:val="0025406F"/>
    <w:rsid w:val="0025458D"/>
    <w:rsid w:val="0025546C"/>
    <w:rsid w:val="002554F4"/>
    <w:rsid w:val="00255EC9"/>
    <w:rsid w:val="00255F9D"/>
    <w:rsid w:val="0025610F"/>
    <w:rsid w:val="002567E7"/>
    <w:rsid w:val="00256C36"/>
    <w:rsid w:val="00256D9F"/>
    <w:rsid w:val="0025702C"/>
    <w:rsid w:val="0025726E"/>
    <w:rsid w:val="0025766C"/>
    <w:rsid w:val="002578FC"/>
    <w:rsid w:val="002600FD"/>
    <w:rsid w:val="0026148F"/>
    <w:rsid w:val="0026173E"/>
    <w:rsid w:val="00262558"/>
    <w:rsid w:val="002627FE"/>
    <w:rsid w:val="00262B99"/>
    <w:rsid w:val="00262BB1"/>
    <w:rsid w:val="00262BBF"/>
    <w:rsid w:val="002637BE"/>
    <w:rsid w:val="00264375"/>
    <w:rsid w:val="0026496C"/>
    <w:rsid w:val="00264FB0"/>
    <w:rsid w:val="00265CAE"/>
    <w:rsid w:val="00267009"/>
    <w:rsid w:val="002679AA"/>
    <w:rsid w:val="00267F74"/>
    <w:rsid w:val="0027085C"/>
    <w:rsid w:val="00270C12"/>
    <w:rsid w:val="0027133D"/>
    <w:rsid w:val="002713E2"/>
    <w:rsid w:val="00271646"/>
    <w:rsid w:val="002724C3"/>
    <w:rsid w:val="00272503"/>
    <w:rsid w:val="00272FC0"/>
    <w:rsid w:val="00274232"/>
    <w:rsid w:val="002742A7"/>
    <w:rsid w:val="0027499E"/>
    <w:rsid w:val="00274AFA"/>
    <w:rsid w:val="00274D2B"/>
    <w:rsid w:val="00274FFD"/>
    <w:rsid w:val="002760E2"/>
    <w:rsid w:val="002762A4"/>
    <w:rsid w:val="00276435"/>
    <w:rsid w:val="0027644A"/>
    <w:rsid w:val="002764FC"/>
    <w:rsid w:val="002765D5"/>
    <w:rsid w:val="0027675D"/>
    <w:rsid w:val="002767E3"/>
    <w:rsid w:val="00276B67"/>
    <w:rsid w:val="00276F26"/>
    <w:rsid w:val="00277115"/>
    <w:rsid w:val="0027732B"/>
    <w:rsid w:val="00277506"/>
    <w:rsid w:val="0027774B"/>
    <w:rsid w:val="00277D03"/>
    <w:rsid w:val="0028002D"/>
    <w:rsid w:val="00280327"/>
    <w:rsid w:val="0028052E"/>
    <w:rsid w:val="00280553"/>
    <w:rsid w:val="00280596"/>
    <w:rsid w:val="002805C2"/>
    <w:rsid w:val="0028062C"/>
    <w:rsid w:val="002807A5"/>
    <w:rsid w:val="00280FA7"/>
    <w:rsid w:val="002810F4"/>
    <w:rsid w:val="0028137C"/>
    <w:rsid w:val="002816D9"/>
    <w:rsid w:val="00282198"/>
    <w:rsid w:val="002821A1"/>
    <w:rsid w:val="002824FE"/>
    <w:rsid w:val="00282730"/>
    <w:rsid w:val="002838E0"/>
    <w:rsid w:val="00283A63"/>
    <w:rsid w:val="00283B35"/>
    <w:rsid w:val="0028406E"/>
    <w:rsid w:val="002842C1"/>
    <w:rsid w:val="00284B0D"/>
    <w:rsid w:val="00284E9F"/>
    <w:rsid w:val="00284FB6"/>
    <w:rsid w:val="002851A2"/>
    <w:rsid w:val="0028521B"/>
    <w:rsid w:val="0028583E"/>
    <w:rsid w:val="002859FA"/>
    <w:rsid w:val="00285BA9"/>
    <w:rsid w:val="0028618D"/>
    <w:rsid w:val="002862E7"/>
    <w:rsid w:val="00286636"/>
    <w:rsid w:val="002868B9"/>
    <w:rsid w:val="00286A2F"/>
    <w:rsid w:val="00286CFA"/>
    <w:rsid w:val="00286DB5"/>
    <w:rsid w:val="00287140"/>
    <w:rsid w:val="00287610"/>
    <w:rsid w:val="00287E74"/>
    <w:rsid w:val="00287ECC"/>
    <w:rsid w:val="00290007"/>
    <w:rsid w:val="00290B32"/>
    <w:rsid w:val="00290D0F"/>
    <w:rsid w:val="00290FBD"/>
    <w:rsid w:val="00291498"/>
    <w:rsid w:val="002919E1"/>
    <w:rsid w:val="00291C8E"/>
    <w:rsid w:val="00291CE0"/>
    <w:rsid w:val="00291F41"/>
    <w:rsid w:val="00291FF6"/>
    <w:rsid w:val="00292165"/>
    <w:rsid w:val="00292180"/>
    <w:rsid w:val="002921A1"/>
    <w:rsid w:val="0029229A"/>
    <w:rsid w:val="0029270D"/>
    <w:rsid w:val="002929DA"/>
    <w:rsid w:val="00292CF6"/>
    <w:rsid w:val="0029305F"/>
    <w:rsid w:val="0029307D"/>
    <w:rsid w:val="002933B6"/>
    <w:rsid w:val="00293B84"/>
    <w:rsid w:val="00294236"/>
    <w:rsid w:val="00294581"/>
    <w:rsid w:val="002946B9"/>
    <w:rsid w:val="00294A69"/>
    <w:rsid w:val="00294C53"/>
    <w:rsid w:val="00294EA5"/>
    <w:rsid w:val="0029581D"/>
    <w:rsid w:val="0029594E"/>
    <w:rsid w:val="002959E7"/>
    <w:rsid w:val="00295E6E"/>
    <w:rsid w:val="002960F8"/>
    <w:rsid w:val="00296276"/>
    <w:rsid w:val="002962DA"/>
    <w:rsid w:val="0029642A"/>
    <w:rsid w:val="00296A62"/>
    <w:rsid w:val="00296CF0"/>
    <w:rsid w:val="002971BD"/>
    <w:rsid w:val="00297431"/>
    <w:rsid w:val="00297553"/>
    <w:rsid w:val="002975AE"/>
    <w:rsid w:val="0029765B"/>
    <w:rsid w:val="0029788E"/>
    <w:rsid w:val="00297A1C"/>
    <w:rsid w:val="00297B44"/>
    <w:rsid w:val="002A0022"/>
    <w:rsid w:val="002A01F7"/>
    <w:rsid w:val="002A0533"/>
    <w:rsid w:val="002A063A"/>
    <w:rsid w:val="002A0723"/>
    <w:rsid w:val="002A0F31"/>
    <w:rsid w:val="002A124B"/>
    <w:rsid w:val="002A138B"/>
    <w:rsid w:val="002A16E1"/>
    <w:rsid w:val="002A1CDB"/>
    <w:rsid w:val="002A1EB8"/>
    <w:rsid w:val="002A2275"/>
    <w:rsid w:val="002A23BD"/>
    <w:rsid w:val="002A248B"/>
    <w:rsid w:val="002A2D59"/>
    <w:rsid w:val="002A2F52"/>
    <w:rsid w:val="002A3085"/>
    <w:rsid w:val="002A3C2B"/>
    <w:rsid w:val="002A3FD4"/>
    <w:rsid w:val="002A4084"/>
    <w:rsid w:val="002A4326"/>
    <w:rsid w:val="002A4959"/>
    <w:rsid w:val="002A4DD4"/>
    <w:rsid w:val="002A502C"/>
    <w:rsid w:val="002A57C5"/>
    <w:rsid w:val="002A593C"/>
    <w:rsid w:val="002A5D42"/>
    <w:rsid w:val="002A638B"/>
    <w:rsid w:val="002A6392"/>
    <w:rsid w:val="002A6A17"/>
    <w:rsid w:val="002A6A97"/>
    <w:rsid w:val="002A6C57"/>
    <w:rsid w:val="002A6C75"/>
    <w:rsid w:val="002A70CA"/>
    <w:rsid w:val="002A7530"/>
    <w:rsid w:val="002A7BEA"/>
    <w:rsid w:val="002A7D24"/>
    <w:rsid w:val="002A7EF8"/>
    <w:rsid w:val="002A7FEE"/>
    <w:rsid w:val="002B0460"/>
    <w:rsid w:val="002B04F6"/>
    <w:rsid w:val="002B0819"/>
    <w:rsid w:val="002B097B"/>
    <w:rsid w:val="002B0CCA"/>
    <w:rsid w:val="002B1497"/>
    <w:rsid w:val="002B185E"/>
    <w:rsid w:val="002B2009"/>
    <w:rsid w:val="002B26E0"/>
    <w:rsid w:val="002B2B76"/>
    <w:rsid w:val="002B2BBB"/>
    <w:rsid w:val="002B332D"/>
    <w:rsid w:val="002B33B0"/>
    <w:rsid w:val="002B3816"/>
    <w:rsid w:val="002B3A26"/>
    <w:rsid w:val="002B3A4B"/>
    <w:rsid w:val="002B3FFB"/>
    <w:rsid w:val="002B4289"/>
    <w:rsid w:val="002B42AD"/>
    <w:rsid w:val="002B470E"/>
    <w:rsid w:val="002B4748"/>
    <w:rsid w:val="002B484B"/>
    <w:rsid w:val="002B4A67"/>
    <w:rsid w:val="002B4C21"/>
    <w:rsid w:val="002B4EA6"/>
    <w:rsid w:val="002B51CA"/>
    <w:rsid w:val="002B524D"/>
    <w:rsid w:val="002B542A"/>
    <w:rsid w:val="002B552D"/>
    <w:rsid w:val="002B5604"/>
    <w:rsid w:val="002B5CCE"/>
    <w:rsid w:val="002B5F1D"/>
    <w:rsid w:val="002B602F"/>
    <w:rsid w:val="002B61A0"/>
    <w:rsid w:val="002B65C5"/>
    <w:rsid w:val="002B6613"/>
    <w:rsid w:val="002B67B5"/>
    <w:rsid w:val="002B6AD1"/>
    <w:rsid w:val="002B6BAA"/>
    <w:rsid w:val="002B6D85"/>
    <w:rsid w:val="002B6DC0"/>
    <w:rsid w:val="002B73E0"/>
    <w:rsid w:val="002B75C1"/>
    <w:rsid w:val="002B7769"/>
    <w:rsid w:val="002B78B2"/>
    <w:rsid w:val="002B7DE0"/>
    <w:rsid w:val="002B7E6A"/>
    <w:rsid w:val="002C06BF"/>
    <w:rsid w:val="002C0AEC"/>
    <w:rsid w:val="002C0C93"/>
    <w:rsid w:val="002C1353"/>
    <w:rsid w:val="002C1498"/>
    <w:rsid w:val="002C1C47"/>
    <w:rsid w:val="002C222B"/>
    <w:rsid w:val="002C2267"/>
    <w:rsid w:val="002C24F4"/>
    <w:rsid w:val="002C293C"/>
    <w:rsid w:val="002C29C3"/>
    <w:rsid w:val="002C2D7A"/>
    <w:rsid w:val="002C3437"/>
    <w:rsid w:val="002C3499"/>
    <w:rsid w:val="002C36B2"/>
    <w:rsid w:val="002C3806"/>
    <w:rsid w:val="002C394F"/>
    <w:rsid w:val="002C3BA1"/>
    <w:rsid w:val="002C4552"/>
    <w:rsid w:val="002C4AA9"/>
    <w:rsid w:val="002C4AB6"/>
    <w:rsid w:val="002C4DBD"/>
    <w:rsid w:val="002C5AC7"/>
    <w:rsid w:val="002C6272"/>
    <w:rsid w:val="002C689A"/>
    <w:rsid w:val="002C6AD7"/>
    <w:rsid w:val="002C6B64"/>
    <w:rsid w:val="002C6F8E"/>
    <w:rsid w:val="002C71B0"/>
    <w:rsid w:val="002C72F1"/>
    <w:rsid w:val="002C75BD"/>
    <w:rsid w:val="002C76E0"/>
    <w:rsid w:val="002C7734"/>
    <w:rsid w:val="002C7C0F"/>
    <w:rsid w:val="002C7C76"/>
    <w:rsid w:val="002C7F87"/>
    <w:rsid w:val="002D0150"/>
    <w:rsid w:val="002D0252"/>
    <w:rsid w:val="002D068A"/>
    <w:rsid w:val="002D07B1"/>
    <w:rsid w:val="002D0ED9"/>
    <w:rsid w:val="002D101B"/>
    <w:rsid w:val="002D14F6"/>
    <w:rsid w:val="002D1771"/>
    <w:rsid w:val="002D1935"/>
    <w:rsid w:val="002D1A4A"/>
    <w:rsid w:val="002D1A60"/>
    <w:rsid w:val="002D1BEE"/>
    <w:rsid w:val="002D1D63"/>
    <w:rsid w:val="002D28E8"/>
    <w:rsid w:val="002D29A7"/>
    <w:rsid w:val="002D2C40"/>
    <w:rsid w:val="002D2E87"/>
    <w:rsid w:val="002D3049"/>
    <w:rsid w:val="002D30C4"/>
    <w:rsid w:val="002D3372"/>
    <w:rsid w:val="002D366A"/>
    <w:rsid w:val="002D37F6"/>
    <w:rsid w:val="002D384F"/>
    <w:rsid w:val="002D391B"/>
    <w:rsid w:val="002D3F39"/>
    <w:rsid w:val="002D4516"/>
    <w:rsid w:val="002D4560"/>
    <w:rsid w:val="002D45EE"/>
    <w:rsid w:val="002D46E0"/>
    <w:rsid w:val="002D48FD"/>
    <w:rsid w:val="002D4D19"/>
    <w:rsid w:val="002D4E24"/>
    <w:rsid w:val="002D53B1"/>
    <w:rsid w:val="002D5AED"/>
    <w:rsid w:val="002D5CF9"/>
    <w:rsid w:val="002D620D"/>
    <w:rsid w:val="002D66BB"/>
    <w:rsid w:val="002D6791"/>
    <w:rsid w:val="002D69C9"/>
    <w:rsid w:val="002D6EDF"/>
    <w:rsid w:val="002D7180"/>
    <w:rsid w:val="002D72DD"/>
    <w:rsid w:val="002D78F1"/>
    <w:rsid w:val="002D7D10"/>
    <w:rsid w:val="002E09B3"/>
    <w:rsid w:val="002E0C1F"/>
    <w:rsid w:val="002E0DA7"/>
    <w:rsid w:val="002E111E"/>
    <w:rsid w:val="002E1C3B"/>
    <w:rsid w:val="002E1C8E"/>
    <w:rsid w:val="002E22F4"/>
    <w:rsid w:val="002E23F4"/>
    <w:rsid w:val="002E3345"/>
    <w:rsid w:val="002E33D9"/>
    <w:rsid w:val="002E3A98"/>
    <w:rsid w:val="002E3DCA"/>
    <w:rsid w:val="002E4452"/>
    <w:rsid w:val="002E4E81"/>
    <w:rsid w:val="002E54A3"/>
    <w:rsid w:val="002E55E4"/>
    <w:rsid w:val="002E585E"/>
    <w:rsid w:val="002E5C0A"/>
    <w:rsid w:val="002E5C5C"/>
    <w:rsid w:val="002E5DB1"/>
    <w:rsid w:val="002E6108"/>
    <w:rsid w:val="002E7116"/>
    <w:rsid w:val="002E7430"/>
    <w:rsid w:val="002E7554"/>
    <w:rsid w:val="002E7ADA"/>
    <w:rsid w:val="002E7AE1"/>
    <w:rsid w:val="002E7B33"/>
    <w:rsid w:val="002E7E83"/>
    <w:rsid w:val="002E7EED"/>
    <w:rsid w:val="002F02D9"/>
    <w:rsid w:val="002F0F5E"/>
    <w:rsid w:val="002F1026"/>
    <w:rsid w:val="002F17F0"/>
    <w:rsid w:val="002F1875"/>
    <w:rsid w:val="002F1C2D"/>
    <w:rsid w:val="002F1DD1"/>
    <w:rsid w:val="002F1FA1"/>
    <w:rsid w:val="002F20DD"/>
    <w:rsid w:val="002F23C3"/>
    <w:rsid w:val="002F2849"/>
    <w:rsid w:val="002F28EB"/>
    <w:rsid w:val="002F295A"/>
    <w:rsid w:val="002F2BAB"/>
    <w:rsid w:val="002F2D52"/>
    <w:rsid w:val="002F2D6C"/>
    <w:rsid w:val="002F2F3B"/>
    <w:rsid w:val="002F3002"/>
    <w:rsid w:val="002F36B8"/>
    <w:rsid w:val="002F3B8A"/>
    <w:rsid w:val="002F4329"/>
    <w:rsid w:val="002F4605"/>
    <w:rsid w:val="002F46F7"/>
    <w:rsid w:val="002F51F3"/>
    <w:rsid w:val="002F53D7"/>
    <w:rsid w:val="002F5477"/>
    <w:rsid w:val="002F56B6"/>
    <w:rsid w:val="002F57DE"/>
    <w:rsid w:val="002F64D8"/>
    <w:rsid w:val="002F64E6"/>
    <w:rsid w:val="002F673E"/>
    <w:rsid w:val="002F6762"/>
    <w:rsid w:val="002F7829"/>
    <w:rsid w:val="002F78E0"/>
    <w:rsid w:val="002F7963"/>
    <w:rsid w:val="002F7E8E"/>
    <w:rsid w:val="00300142"/>
    <w:rsid w:val="00300182"/>
    <w:rsid w:val="0030088A"/>
    <w:rsid w:val="003008E7"/>
    <w:rsid w:val="00300B14"/>
    <w:rsid w:val="00300C9C"/>
    <w:rsid w:val="00300FA8"/>
    <w:rsid w:val="00300FBD"/>
    <w:rsid w:val="0030105E"/>
    <w:rsid w:val="00302126"/>
    <w:rsid w:val="00302575"/>
    <w:rsid w:val="0030262A"/>
    <w:rsid w:val="00302990"/>
    <w:rsid w:val="003029F9"/>
    <w:rsid w:val="00302B2E"/>
    <w:rsid w:val="003034D5"/>
    <w:rsid w:val="003034D9"/>
    <w:rsid w:val="003039DD"/>
    <w:rsid w:val="00303BE7"/>
    <w:rsid w:val="00303C4D"/>
    <w:rsid w:val="00303C75"/>
    <w:rsid w:val="00304093"/>
    <w:rsid w:val="003044D1"/>
    <w:rsid w:val="003044DE"/>
    <w:rsid w:val="003046CD"/>
    <w:rsid w:val="00304B17"/>
    <w:rsid w:val="003050DF"/>
    <w:rsid w:val="0030516B"/>
    <w:rsid w:val="003052D9"/>
    <w:rsid w:val="00305E50"/>
    <w:rsid w:val="003066A9"/>
    <w:rsid w:val="00306846"/>
    <w:rsid w:val="00306AF3"/>
    <w:rsid w:val="0030772C"/>
    <w:rsid w:val="003078AC"/>
    <w:rsid w:val="00307AA0"/>
    <w:rsid w:val="003101A6"/>
    <w:rsid w:val="003105B4"/>
    <w:rsid w:val="0031085D"/>
    <w:rsid w:val="00310B03"/>
    <w:rsid w:val="00310D58"/>
    <w:rsid w:val="00310D73"/>
    <w:rsid w:val="00311489"/>
    <w:rsid w:val="00311505"/>
    <w:rsid w:val="003115E5"/>
    <w:rsid w:val="003116E6"/>
    <w:rsid w:val="00311749"/>
    <w:rsid w:val="003117AE"/>
    <w:rsid w:val="00311812"/>
    <w:rsid w:val="00311854"/>
    <w:rsid w:val="00311869"/>
    <w:rsid w:val="003118B3"/>
    <w:rsid w:val="00311B22"/>
    <w:rsid w:val="00311F44"/>
    <w:rsid w:val="003127D3"/>
    <w:rsid w:val="0031286E"/>
    <w:rsid w:val="00312D7C"/>
    <w:rsid w:val="00312DBD"/>
    <w:rsid w:val="00313B0D"/>
    <w:rsid w:val="00313CE4"/>
    <w:rsid w:val="00314013"/>
    <w:rsid w:val="003141B2"/>
    <w:rsid w:val="003148B4"/>
    <w:rsid w:val="00314A8D"/>
    <w:rsid w:val="00314E0B"/>
    <w:rsid w:val="00314E6D"/>
    <w:rsid w:val="00315167"/>
    <w:rsid w:val="003153EE"/>
    <w:rsid w:val="0031568A"/>
    <w:rsid w:val="00315942"/>
    <w:rsid w:val="00315D1C"/>
    <w:rsid w:val="00315F87"/>
    <w:rsid w:val="00316909"/>
    <w:rsid w:val="00316986"/>
    <w:rsid w:val="00316990"/>
    <w:rsid w:val="00317426"/>
    <w:rsid w:val="0031755C"/>
    <w:rsid w:val="003201DC"/>
    <w:rsid w:val="003204AA"/>
    <w:rsid w:val="00320ADA"/>
    <w:rsid w:val="00320AF2"/>
    <w:rsid w:val="00320C4F"/>
    <w:rsid w:val="0032139F"/>
    <w:rsid w:val="003214EC"/>
    <w:rsid w:val="003219EB"/>
    <w:rsid w:val="0032207D"/>
    <w:rsid w:val="0032250A"/>
    <w:rsid w:val="0032291A"/>
    <w:rsid w:val="00323066"/>
    <w:rsid w:val="00323133"/>
    <w:rsid w:val="003236F1"/>
    <w:rsid w:val="0032386A"/>
    <w:rsid w:val="00323969"/>
    <w:rsid w:val="00323997"/>
    <w:rsid w:val="00323A7B"/>
    <w:rsid w:val="00324000"/>
    <w:rsid w:val="003241A5"/>
    <w:rsid w:val="003242A6"/>
    <w:rsid w:val="0032461A"/>
    <w:rsid w:val="003248C7"/>
    <w:rsid w:val="003248E9"/>
    <w:rsid w:val="00324C01"/>
    <w:rsid w:val="003250B0"/>
    <w:rsid w:val="00325439"/>
    <w:rsid w:val="0032573F"/>
    <w:rsid w:val="00325826"/>
    <w:rsid w:val="00325BCF"/>
    <w:rsid w:val="00325D7F"/>
    <w:rsid w:val="00325DEF"/>
    <w:rsid w:val="00326048"/>
    <w:rsid w:val="0032625B"/>
    <w:rsid w:val="003266A6"/>
    <w:rsid w:val="00326991"/>
    <w:rsid w:val="003272B9"/>
    <w:rsid w:val="003274B4"/>
    <w:rsid w:val="003275F6"/>
    <w:rsid w:val="003278E4"/>
    <w:rsid w:val="00327922"/>
    <w:rsid w:val="003279FC"/>
    <w:rsid w:val="00327B28"/>
    <w:rsid w:val="00327EF7"/>
    <w:rsid w:val="0033031C"/>
    <w:rsid w:val="00330D0A"/>
    <w:rsid w:val="00331163"/>
    <w:rsid w:val="0033141C"/>
    <w:rsid w:val="0033182B"/>
    <w:rsid w:val="0033193C"/>
    <w:rsid w:val="00332C4A"/>
    <w:rsid w:val="003331F8"/>
    <w:rsid w:val="00333D05"/>
    <w:rsid w:val="0033491A"/>
    <w:rsid w:val="00334E6A"/>
    <w:rsid w:val="003352F0"/>
    <w:rsid w:val="003354D3"/>
    <w:rsid w:val="00335EDD"/>
    <w:rsid w:val="003363B4"/>
    <w:rsid w:val="00336608"/>
    <w:rsid w:val="003369B8"/>
    <w:rsid w:val="00336DE4"/>
    <w:rsid w:val="0033711B"/>
    <w:rsid w:val="00337173"/>
    <w:rsid w:val="003371E5"/>
    <w:rsid w:val="00337242"/>
    <w:rsid w:val="00337551"/>
    <w:rsid w:val="00337BBA"/>
    <w:rsid w:val="003403DF"/>
    <w:rsid w:val="003404C0"/>
    <w:rsid w:val="00340FFD"/>
    <w:rsid w:val="0034175A"/>
    <w:rsid w:val="00341881"/>
    <w:rsid w:val="00341D1C"/>
    <w:rsid w:val="00342031"/>
    <w:rsid w:val="00342232"/>
    <w:rsid w:val="0034264B"/>
    <w:rsid w:val="00342E2C"/>
    <w:rsid w:val="00342E3A"/>
    <w:rsid w:val="00342EF0"/>
    <w:rsid w:val="003431BC"/>
    <w:rsid w:val="0034325D"/>
    <w:rsid w:val="003433F4"/>
    <w:rsid w:val="0034393F"/>
    <w:rsid w:val="0034397D"/>
    <w:rsid w:val="00343FED"/>
    <w:rsid w:val="00344347"/>
    <w:rsid w:val="00344517"/>
    <w:rsid w:val="00344999"/>
    <w:rsid w:val="00344FDA"/>
    <w:rsid w:val="00345246"/>
    <w:rsid w:val="0034524B"/>
    <w:rsid w:val="003452DD"/>
    <w:rsid w:val="00345FBC"/>
    <w:rsid w:val="00346053"/>
    <w:rsid w:val="003460B2"/>
    <w:rsid w:val="0034707A"/>
    <w:rsid w:val="00347103"/>
    <w:rsid w:val="003473C6"/>
    <w:rsid w:val="00347503"/>
    <w:rsid w:val="00347654"/>
    <w:rsid w:val="003500A6"/>
    <w:rsid w:val="003502D6"/>
    <w:rsid w:val="0035073D"/>
    <w:rsid w:val="00350AA0"/>
    <w:rsid w:val="00351047"/>
    <w:rsid w:val="00351153"/>
    <w:rsid w:val="00351917"/>
    <w:rsid w:val="003522A5"/>
    <w:rsid w:val="0035291A"/>
    <w:rsid w:val="003529EC"/>
    <w:rsid w:val="00352FE8"/>
    <w:rsid w:val="003530C3"/>
    <w:rsid w:val="00353937"/>
    <w:rsid w:val="00353CB3"/>
    <w:rsid w:val="00353ED2"/>
    <w:rsid w:val="00355938"/>
    <w:rsid w:val="0035616A"/>
    <w:rsid w:val="00357000"/>
    <w:rsid w:val="003571A3"/>
    <w:rsid w:val="0035722B"/>
    <w:rsid w:val="0035734A"/>
    <w:rsid w:val="003577F3"/>
    <w:rsid w:val="0036016A"/>
    <w:rsid w:val="00360E7D"/>
    <w:rsid w:val="00361087"/>
    <w:rsid w:val="0036133C"/>
    <w:rsid w:val="00361518"/>
    <w:rsid w:val="003618C6"/>
    <w:rsid w:val="00361B12"/>
    <w:rsid w:val="00361C29"/>
    <w:rsid w:val="00361D36"/>
    <w:rsid w:val="003622BF"/>
    <w:rsid w:val="00362931"/>
    <w:rsid w:val="00362BD1"/>
    <w:rsid w:val="00362E3F"/>
    <w:rsid w:val="00363742"/>
    <w:rsid w:val="003638FF"/>
    <w:rsid w:val="0036396F"/>
    <w:rsid w:val="00363E0C"/>
    <w:rsid w:val="0036433C"/>
    <w:rsid w:val="00364B7E"/>
    <w:rsid w:val="00364C8D"/>
    <w:rsid w:val="00365400"/>
    <w:rsid w:val="0036551A"/>
    <w:rsid w:val="00365B21"/>
    <w:rsid w:val="00365DEA"/>
    <w:rsid w:val="00365E48"/>
    <w:rsid w:val="00365E9B"/>
    <w:rsid w:val="00366125"/>
    <w:rsid w:val="003665FC"/>
    <w:rsid w:val="00366A09"/>
    <w:rsid w:val="0036710B"/>
    <w:rsid w:val="003671F4"/>
    <w:rsid w:val="00367325"/>
    <w:rsid w:val="003674E3"/>
    <w:rsid w:val="00367810"/>
    <w:rsid w:val="00367922"/>
    <w:rsid w:val="00367958"/>
    <w:rsid w:val="00367971"/>
    <w:rsid w:val="00367B78"/>
    <w:rsid w:val="00367F05"/>
    <w:rsid w:val="00370282"/>
    <w:rsid w:val="00370352"/>
    <w:rsid w:val="0037093F"/>
    <w:rsid w:val="00370F59"/>
    <w:rsid w:val="003714E4"/>
    <w:rsid w:val="0037195A"/>
    <w:rsid w:val="00371EB3"/>
    <w:rsid w:val="00372D2D"/>
    <w:rsid w:val="00372D5A"/>
    <w:rsid w:val="00372F16"/>
    <w:rsid w:val="0037307F"/>
    <w:rsid w:val="003731DB"/>
    <w:rsid w:val="003736A3"/>
    <w:rsid w:val="00374128"/>
    <w:rsid w:val="0037444C"/>
    <w:rsid w:val="00374672"/>
    <w:rsid w:val="0037485B"/>
    <w:rsid w:val="003750D7"/>
    <w:rsid w:val="00375322"/>
    <w:rsid w:val="0037586B"/>
    <w:rsid w:val="00375B05"/>
    <w:rsid w:val="00375E51"/>
    <w:rsid w:val="00376196"/>
    <w:rsid w:val="003767B6"/>
    <w:rsid w:val="00376E12"/>
    <w:rsid w:val="00376E4C"/>
    <w:rsid w:val="003772D4"/>
    <w:rsid w:val="00377819"/>
    <w:rsid w:val="003802CD"/>
    <w:rsid w:val="0038053D"/>
    <w:rsid w:val="00380669"/>
    <w:rsid w:val="003807F8"/>
    <w:rsid w:val="00380926"/>
    <w:rsid w:val="00380C0E"/>
    <w:rsid w:val="00380E36"/>
    <w:rsid w:val="00380F37"/>
    <w:rsid w:val="003812CB"/>
    <w:rsid w:val="00381470"/>
    <w:rsid w:val="003816FE"/>
    <w:rsid w:val="00381A9C"/>
    <w:rsid w:val="003821D5"/>
    <w:rsid w:val="0038238C"/>
    <w:rsid w:val="0038240D"/>
    <w:rsid w:val="0038293D"/>
    <w:rsid w:val="0038298E"/>
    <w:rsid w:val="00382BC6"/>
    <w:rsid w:val="00382E74"/>
    <w:rsid w:val="00383D07"/>
    <w:rsid w:val="00383D42"/>
    <w:rsid w:val="0038418F"/>
    <w:rsid w:val="0038455A"/>
    <w:rsid w:val="003847D8"/>
    <w:rsid w:val="00384A13"/>
    <w:rsid w:val="003850A1"/>
    <w:rsid w:val="00385371"/>
    <w:rsid w:val="003854AB"/>
    <w:rsid w:val="00385590"/>
    <w:rsid w:val="0038583B"/>
    <w:rsid w:val="00385955"/>
    <w:rsid w:val="00385E2A"/>
    <w:rsid w:val="00385F11"/>
    <w:rsid w:val="00385FA7"/>
    <w:rsid w:val="00386480"/>
    <w:rsid w:val="00386BA3"/>
    <w:rsid w:val="00386FC3"/>
    <w:rsid w:val="003871AA"/>
    <w:rsid w:val="0038725A"/>
    <w:rsid w:val="003907F2"/>
    <w:rsid w:val="00390930"/>
    <w:rsid w:val="00390E8E"/>
    <w:rsid w:val="00391900"/>
    <w:rsid w:val="00391C99"/>
    <w:rsid w:val="00391E74"/>
    <w:rsid w:val="00391F24"/>
    <w:rsid w:val="0039253B"/>
    <w:rsid w:val="00392A13"/>
    <w:rsid w:val="00392A15"/>
    <w:rsid w:val="00392A17"/>
    <w:rsid w:val="00392B8A"/>
    <w:rsid w:val="00392E6D"/>
    <w:rsid w:val="00392F5C"/>
    <w:rsid w:val="00392F87"/>
    <w:rsid w:val="003930AC"/>
    <w:rsid w:val="0039322B"/>
    <w:rsid w:val="00393C3C"/>
    <w:rsid w:val="00393F9C"/>
    <w:rsid w:val="00394555"/>
    <w:rsid w:val="003948FC"/>
    <w:rsid w:val="00394E76"/>
    <w:rsid w:val="00395519"/>
    <w:rsid w:val="0039606E"/>
    <w:rsid w:val="0039649D"/>
    <w:rsid w:val="0039688F"/>
    <w:rsid w:val="00396DC7"/>
    <w:rsid w:val="00396E30"/>
    <w:rsid w:val="00397633"/>
    <w:rsid w:val="00397761"/>
    <w:rsid w:val="0039776C"/>
    <w:rsid w:val="00397793"/>
    <w:rsid w:val="00397D14"/>
    <w:rsid w:val="003A0260"/>
    <w:rsid w:val="003A1440"/>
    <w:rsid w:val="003A193B"/>
    <w:rsid w:val="003A21C1"/>
    <w:rsid w:val="003A2253"/>
    <w:rsid w:val="003A2337"/>
    <w:rsid w:val="003A26A7"/>
    <w:rsid w:val="003A2721"/>
    <w:rsid w:val="003A27F1"/>
    <w:rsid w:val="003A2BE7"/>
    <w:rsid w:val="003A2E2E"/>
    <w:rsid w:val="003A3363"/>
    <w:rsid w:val="003A39D8"/>
    <w:rsid w:val="003A3C05"/>
    <w:rsid w:val="003A4133"/>
    <w:rsid w:val="003A4165"/>
    <w:rsid w:val="003A41E8"/>
    <w:rsid w:val="003A43E4"/>
    <w:rsid w:val="003A4BB1"/>
    <w:rsid w:val="003A53A6"/>
    <w:rsid w:val="003A5658"/>
    <w:rsid w:val="003A581A"/>
    <w:rsid w:val="003A58A4"/>
    <w:rsid w:val="003A5FC2"/>
    <w:rsid w:val="003A612E"/>
    <w:rsid w:val="003A66B5"/>
    <w:rsid w:val="003A67CA"/>
    <w:rsid w:val="003A690D"/>
    <w:rsid w:val="003A77C7"/>
    <w:rsid w:val="003A7807"/>
    <w:rsid w:val="003A7994"/>
    <w:rsid w:val="003A7D8C"/>
    <w:rsid w:val="003A7E48"/>
    <w:rsid w:val="003B00B3"/>
    <w:rsid w:val="003B0203"/>
    <w:rsid w:val="003B030D"/>
    <w:rsid w:val="003B0407"/>
    <w:rsid w:val="003B0437"/>
    <w:rsid w:val="003B05E0"/>
    <w:rsid w:val="003B1CEB"/>
    <w:rsid w:val="003B1E2D"/>
    <w:rsid w:val="003B1E9D"/>
    <w:rsid w:val="003B26E5"/>
    <w:rsid w:val="003B2C7C"/>
    <w:rsid w:val="003B327F"/>
    <w:rsid w:val="003B33A5"/>
    <w:rsid w:val="003B398F"/>
    <w:rsid w:val="003B3A3D"/>
    <w:rsid w:val="003B3BB5"/>
    <w:rsid w:val="003B3EBE"/>
    <w:rsid w:val="003B4033"/>
    <w:rsid w:val="003B4725"/>
    <w:rsid w:val="003B4904"/>
    <w:rsid w:val="003B4D18"/>
    <w:rsid w:val="003B4FB0"/>
    <w:rsid w:val="003B52D4"/>
    <w:rsid w:val="003B537C"/>
    <w:rsid w:val="003B53C1"/>
    <w:rsid w:val="003B5EF4"/>
    <w:rsid w:val="003B606F"/>
    <w:rsid w:val="003B60D0"/>
    <w:rsid w:val="003B6304"/>
    <w:rsid w:val="003B6645"/>
    <w:rsid w:val="003B6647"/>
    <w:rsid w:val="003B6A21"/>
    <w:rsid w:val="003B6D7A"/>
    <w:rsid w:val="003B7314"/>
    <w:rsid w:val="003B73BD"/>
    <w:rsid w:val="003B7A79"/>
    <w:rsid w:val="003C010A"/>
    <w:rsid w:val="003C04D7"/>
    <w:rsid w:val="003C0967"/>
    <w:rsid w:val="003C0AE7"/>
    <w:rsid w:val="003C0BBE"/>
    <w:rsid w:val="003C0E45"/>
    <w:rsid w:val="003C11DC"/>
    <w:rsid w:val="003C1646"/>
    <w:rsid w:val="003C17D0"/>
    <w:rsid w:val="003C1E59"/>
    <w:rsid w:val="003C2CBC"/>
    <w:rsid w:val="003C391D"/>
    <w:rsid w:val="003C3A10"/>
    <w:rsid w:val="003C3CCF"/>
    <w:rsid w:val="003C406D"/>
    <w:rsid w:val="003C4201"/>
    <w:rsid w:val="003C427E"/>
    <w:rsid w:val="003C42E9"/>
    <w:rsid w:val="003C4A90"/>
    <w:rsid w:val="003C4C0B"/>
    <w:rsid w:val="003C4F9A"/>
    <w:rsid w:val="003C5020"/>
    <w:rsid w:val="003C5143"/>
    <w:rsid w:val="003C52BD"/>
    <w:rsid w:val="003C58A1"/>
    <w:rsid w:val="003C5CB1"/>
    <w:rsid w:val="003C5CC6"/>
    <w:rsid w:val="003C5D96"/>
    <w:rsid w:val="003C5EB8"/>
    <w:rsid w:val="003C5F92"/>
    <w:rsid w:val="003C6084"/>
    <w:rsid w:val="003C6665"/>
    <w:rsid w:val="003C691D"/>
    <w:rsid w:val="003C6938"/>
    <w:rsid w:val="003C773D"/>
    <w:rsid w:val="003C7C1D"/>
    <w:rsid w:val="003D002A"/>
    <w:rsid w:val="003D00B8"/>
    <w:rsid w:val="003D012A"/>
    <w:rsid w:val="003D0394"/>
    <w:rsid w:val="003D10EB"/>
    <w:rsid w:val="003D1478"/>
    <w:rsid w:val="003D2242"/>
    <w:rsid w:val="003D27DE"/>
    <w:rsid w:val="003D2C95"/>
    <w:rsid w:val="003D2E57"/>
    <w:rsid w:val="003D2E86"/>
    <w:rsid w:val="003D31B3"/>
    <w:rsid w:val="003D323C"/>
    <w:rsid w:val="003D333D"/>
    <w:rsid w:val="003D362E"/>
    <w:rsid w:val="003D36AD"/>
    <w:rsid w:val="003D39B7"/>
    <w:rsid w:val="003D4336"/>
    <w:rsid w:val="003D45B9"/>
    <w:rsid w:val="003D4E79"/>
    <w:rsid w:val="003D5577"/>
    <w:rsid w:val="003D5776"/>
    <w:rsid w:val="003D609C"/>
    <w:rsid w:val="003D64F8"/>
    <w:rsid w:val="003D6F80"/>
    <w:rsid w:val="003D70D8"/>
    <w:rsid w:val="003D7819"/>
    <w:rsid w:val="003D7A2D"/>
    <w:rsid w:val="003E0465"/>
    <w:rsid w:val="003E128C"/>
    <w:rsid w:val="003E1409"/>
    <w:rsid w:val="003E1E84"/>
    <w:rsid w:val="003E200D"/>
    <w:rsid w:val="003E2831"/>
    <w:rsid w:val="003E380F"/>
    <w:rsid w:val="003E3CEF"/>
    <w:rsid w:val="003E3FBF"/>
    <w:rsid w:val="003E4693"/>
    <w:rsid w:val="003E4701"/>
    <w:rsid w:val="003E4707"/>
    <w:rsid w:val="003E477B"/>
    <w:rsid w:val="003E480C"/>
    <w:rsid w:val="003E4C63"/>
    <w:rsid w:val="003E4E50"/>
    <w:rsid w:val="003E56BC"/>
    <w:rsid w:val="003E58F5"/>
    <w:rsid w:val="003E5F20"/>
    <w:rsid w:val="003E627B"/>
    <w:rsid w:val="003E6532"/>
    <w:rsid w:val="003E66D4"/>
    <w:rsid w:val="003E6ADB"/>
    <w:rsid w:val="003E6AFD"/>
    <w:rsid w:val="003E6D28"/>
    <w:rsid w:val="003E70CD"/>
    <w:rsid w:val="003E744B"/>
    <w:rsid w:val="003E74FF"/>
    <w:rsid w:val="003E76FA"/>
    <w:rsid w:val="003E78EF"/>
    <w:rsid w:val="003E7B41"/>
    <w:rsid w:val="003E7CF1"/>
    <w:rsid w:val="003F03E9"/>
    <w:rsid w:val="003F0509"/>
    <w:rsid w:val="003F0649"/>
    <w:rsid w:val="003F0D99"/>
    <w:rsid w:val="003F1286"/>
    <w:rsid w:val="003F1B0A"/>
    <w:rsid w:val="003F200C"/>
    <w:rsid w:val="003F25C7"/>
    <w:rsid w:val="003F2B42"/>
    <w:rsid w:val="003F2BFA"/>
    <w:rsid w:val="003F2C8C"/>
    <w:rsid w:val="003F3255"/>
    <w:rsid w:val="003F3E92"/>
    <w:rsid w:val="003F4133"/>
    <w:rsid w:val="003F5467"/>
    <w:rsid w:val="003F54FA"/>
    <w:rsid w:val="003F5B87"/>
    <w:rsid w:val="003F5D99"/>
    <w:rsid w:val="003F5EB8"/>
    <w:rsid w:val="003F5F3A"/>
    <w:rsid w:val="003F6350"/>
    <w:rsid w:val="003F64F8"/>
    <w:rsid w:val="003F6C26"/>
    <w:rsid w:val="003F6D30"/>
    <w:rsid w:val="003F71C0"/>
    <w:rsid w:val="003F7AE4"/>
    <w:rsid w:val="004000B7"/>
    <w:rsid w:val="00400404"/>
    <w:rsid w:val="00400631"/>
    <w:rsid w:val="004007B3"/>
    <w:rsid w:val="004008EF"/>
    <w:rsid w:val="00400BF5"/>
    <w:rsid w:val="0040129F"/>
    <w:rsid w:val="00401516"/>
    <w:rsid w:val="00401539"/>
    <w:rsid w:val="004016C1"/>
    <w:rsid w:val="00401CB3"/>
    <w:rsid w:val="0040262E"/>
    <w:rsid w:val="004026C7"/>
    <w:rsid w:val="00402DDB"/>
    <w:rsid w:val="00402EE9"/>
    <w:rsid w:val="0040349B"/>
    <w:rsid w:val="0040385A"/>
    <w:rsid w:val="0040424B"/>
    <w:rsid w:val="004044F0"/>
    <w:rsid w:val="00404A03"/>
    <w:rsid w:val="00404AA6"/>
    <w:rsid w:val="00405B26"/>
    <w:rsid w:val="00405FD9"/>
    <w:rsid w:val="00406071"/>
    <w:rsid w:val="00406327"/>
    <w:rsid w:val="0040680F"/>
    <w:rsid w:val="00406906"/>
    <w:rsid w:val="00406EF6"/>
    <w:rsid w:val="00407026"/>
    <w:rsid w:val="00407500"/>
    <w:rsid w:val="0040781E"/>
    <w:rsid w:val="00407828"/>
    <w:rsid w:val="0040792C"/>
    <w:rsid w:val="00407A12"/>
    <w:rsid w:val="00411082"/>
    <w:rsid w:val="00411117"/>
    <w:rsid w:val="00411339"/>
    <w:rsid w:val="00411472"/>
    <w:rsid w:val="004114B7"/>
    <w:rsid w:val="00411C98"/>
    <w:rsid w:val="0041238E"/>
    <w:rsid w:val="00412470"/>
    <w:rsid w:val="004127FC"/>
    <w:rsid w:val="004130AF"/>
    <w:rsid w:val="0041329D"/>
    <w:rsid w:val="004136C7"/>
    <w:rsid w:val="004138CB"/>
    <w:rsid w:val="00413972"/>
    <w:rsid w:val="00414019"/>
    <w:rsid w:val="004140EE"/>
    <w:rsid w:val="00414143"/>
    <w:rsid w:val="00414802"/>
    <w:rsid w:val="004149DE"/>
    <w:rsid w:val="00414B4A"/>
    <w:rsid w:val="00414D73"/>
    <w:rsid w:val="00414E49"/>
    <w:rsid w:val="00414EA5"/>
    <w:rsid w:val="004151DF"/>
    <w:rsid w:val="00415246"/>
    <w:rsid w:val="004152CC"/>
    <w:rsid w:val="004153E6"/>
    <w:rsid w:val="00415435"/>
    <w:rsid w:val="00415A45"/>
    <w:rsid w:val="00415C0A"/>
    <w:rsid w:val="00415D71"/>
    <w:rsid w:val="00415E37"/>
    <w:rsid w:val="00416025"/>
    <w:rsid w:val="00416E61"/>
    <w:rsid w:val="00416FCB"/>
    <w:rsid w:val="00417196"/>
    <w:rsid w:val="0041761C"/>
    <w:rsid w:val="0041778D"/>
    <w:rsid w:val="00417974"/>
    <w:rsid w:val="00420505"/>
    <w:rsid w:val="004207FD"/>
    <w:rsid w:val="004210A0"/>
    <w:rsid w:val="00421114"/>
    <w:rsid w:val="004211B4"/>
    <w:rsid w:val="00421274"/>
    <w:rsid w:val="0042161D"/>
    <w:rsid w:val="00421A27"/>
    <w:rsid w:val="00422108"/>
    <w:rsid w:val="0042244E"/>
    <w:rsid w:val="004225B0"/>
    <w:rsid w:val="004229BF"/>
    <w:rsid w:val="004239EE"/>
    <w:rsid w:val="00423EB6"/>
    <w:rsid w:val="00423FA3"/>
    <w:rsid w:val="0042402E"/>
    <w:rsid w:val="0042427B"/>
    <w:rsid w:val="00424348"/>
    <w:rsid w:val="00424474"/>
    <w:rsid w:val="004244C5"/>
    <w:rsid w:val="004245EA"/>
    <w:rsid w:val="00424962"/>
    <w:rsid w:val="004249EF"/>
    <w:rsid w:val="00424C29"/>
    <w:rsid w:val="00424D4F"/>
    <w:rsid w:val="00424D96"/>
    <w:rsid w:val="00424DF8"/>
    <w:rsid w:val="00424F45"/>
    <w:rsid w:val="0042564F"/>
    <w:rsid w:val="004256FE"/>
    <w:rsid w:val="00425CE7"/>
    <w:rsid w:val="00425EE4"/>
    <w:rsid w:val="00426472"/>
    <w:rsid w:val="00426B66"/>
    <w:rsid w:val="00426C19"/>
    <w:rsid w:val="0042725B"/>
    <w:rsid w:val="00427640"/>
    <w:rsid w:val="00427BB2"/>
    <w:rsid w:val="00427C60"/>
    <w:rsid w:val="00430082"/>
    <w:rsid w:val="0043028A"/>
    <w:rsid w:val="00430C85"/>
    <w:rsid w:val="00431193"/>
    <w:rsid w:val="0043125D"/>
    <w:rsid w:val="004316EB"/>
    <w:rsid w:val="0043172C"/>
    <w:rsid w:val="00432CFC"/>
    <w:rsid w:val="00432DA4"/>
    <w:rsid w:val="00432FB2"/>
    <w:rsid w:val="004335CC"/>
    <w:rsid w:val="00433934"/>
    <w:rsid w:val="00433BC2"/>
    <w:rsid w:val="0043485A"/>
    <w:rsid w:val="0043521E"/>
    <w:rsid w:val="004355B4"/>
    <w:rsid w:val="00435858"/>
    <w:rsid w:val="00435C55"/>
    <w:rsid w:val="00435EF1"/>
    <w:rsid w:val="00435F5D"/>
    <w:rsid w:val="00436291"/>
    <w:rsid w:val="0043669A"/>
    <w:rsid w:val="00436F49"/>
    <w:rsid w:val="00437138"/>
    <w:rsid w:val="00437153"/>
    <w:rsid w:val="004375D8"/>
    <w:rsid w:val="00437759"/>
    <w:rsid w:val="00437C2A"/>
    <w:rsid w:val="00437D79"/>
    <w:rsid w:val="00437F73"/>
    <w:rsid w:val="00437F76"/>
    <w:rsid w:val="00440B48"/>
    <w:rsid w:val="00440D51"/>
    <w:rsid w:val="00440DD0"/>
    <w:rsid w:val="004411F7"/>
    <w:rsid w:val="00441252"/>
    <w:rsid w:val="00441634"/>
    <w:rsid w:val="00441941"/>
    <w:rsid w:val="00441A9A"/>
    <w:rsid w:val="00441AA9"/>
    <w:rsid w:val="00441BF5"/>
    <w:rsid w:val="00442005"/>
    <w:rsid w:val="00442062"/>
    <w:rsid w:val="00442134"/>
    <w:rsid w:val="004421AB"/>
    <w:rsid w:val="00442781"/>
    <w:rsid w:val="0044297D"/>
    <w:rsid w:val="00442AC7"/>
    <w:rsid w:val="00442F47"/>
    <w:rsid w:val="00443362"/>
    <w:rsid w:val="0044369D"/>
    <w:rsid w:val="0044401B"/>
    <w:rsid w:val="004441BD"/>
    <w:rsid w:val="00444E8C"/>
    <w:rsid w:val="004450F1"/>
    <w:rsid w:val="004453CF"/>
    <w:rsid w:val="0044547D"/>
    <w:rsid w:val="004455EB"/>
    <w:rsid w:val="0044562C"/>
    <w:rsid w:val="004457B6"/>
    <w:rsid w:val="00445A59"/>
    <w:rsid w:val="00445B9A"/>
    <w:rsid w:val="00445C7C"/>
    <w:rsid w:val="00445FAC"/>
    <w:rsid w:val="00446AC5"/>
    <w:rsid w:val="00446C59"/>
    <w:rsid w:val="00447073"/>
    <w:rsid w:val="004471A0"/>
    <w:rsid w:val="004475A7"/>
    <w:rsid w:val="004475D6"/>
    <w:rsid w:val="004477F4"/>
    <w:rsid w:val="004478C3"/>
    <w:rsid w:val="00447F64"/>
    <w:rsid w:val="00450371"/>
    <w:rsid w:val="00450932"/>
    <w:rsid w:val="004515B7"/>
    <w:rsid w:val="004517D4"/>
    <w:rsid w:val="0045186F"/>
    <w:rsid w:val="004523B3"/>
    <w:rsid w:val="00452672"/>
    <w:rsid w:val="00452CBB"/>
    <w:rsid w:val="004532FC"/>
    <w:rsid w:val="00453506"/>
    <w:rsid w:val="00453608"/>
    <w:rsid w:val="00453850"/>
    <w:rsid w:val="004539FF"/>
    <w:rsid w:val="00453A53"/>
    <w:rsid w:val="00454B1E"/>
    <w:rsid w:val="00454B6E"/>
    <w:rsid w:val="00455323"/>
    <w:rsid w:val="004553CC"/>
    <w:rsid w:val="00455CE9"/>
    <w:rsid w:val="00455D2F"/>
    <w:rsid w:val="0045605A"/>
    <w:rsid w:val="00456194"/>
    <w:rsid w:val="00456496"/>
    <w:rsid w:val="00456AE8"/>
    <w:rsid w:val="00456D07"/>
    <w:rsid w:val="00456EFE"/>
    <w:rsid w:val="00457048"/>
    <w:rsid w:val="004576E2"/>
    <w:rsid w:val="004576E4"/>
    <w:rsid w:val="00457922"/>
    <w:rsid w:val="0046005D"/>
    <w:rsid w:val="00460482"/>
    <w:rsid w:val="00460D11"/>
    <w:rsid w:val="00460D9D"/>
    <w:rsid w:val="00460F6C"/>
    <w:rsid w:val="00461141"/>
    <w:rsid w:val="00461258"/>
    <w:rsid w:val="00461B4F"/>
    <w:rsid w:val="00462941"/>
    <w:rsid w:val="004629F4"/>
    <w:rsid w:val="00462A2F"/>
    <w:rsid w:val="00462DD2"/>
    <w:rsid w:val="00462E24"/>
    <w:rsid w:val="004633D0"/>
    <w:rsid w:val="0046361E"/>
    <w:rsid w:val="0046397B"/>
    <w:rsid w:val="00463BB7"/>
    <w:rsid w:val="00464028"/>
    <w:rsid w:val="00464AA5"/>
    <w:rsid w:val="00464DE7"/>
    <w:rsid w:val="00464E95"/>
    <w:rsid w:val="00464F5F"/>
    <w:rsid w:val="0046529E"/>
    <w:rsid w:val="00465396"/>
    <w:rsid w:val="004656AC"/>
    <w:rsid w:val="004658B7"/>
    <w:rsid w:val="00465AB1"/>
    <w:rsid w:val="00465C37"/>
    <w:rsid w:val="00465F77"/>
    <w:rsid w:val="0046686D"/>
    <w:rsid w:val="00466EDF"/>
    <w:rsid w:val="00467517"/>
    <w:rsid w:val="0046775A"/>
    <w:rsid w:val="004678B3"/>
    <w:rsid w:val="00467BE7"/>
    <w:rsid w:val="00467C0B"/>
    <w:rsid w:val="00470145"/>
    <w:rsid w:val="0047074F"/>
    <w:rsid w:val="00470753"/>
    <w:rsid w:val="0047104E"/>
    <w:rsid w:val="0047154D"/>
    <w:rsid w:val="004718FB"/>
    <w:rsid w:val="00471A99"/>
    <w:rsid w:val="004726D5"/>
    <w:rsid w:val="0047350D"/>
    <w:rsid w:val="00473592"/>
    <w:rsid w:val="00473A5C"/>
    <w:rsid w:val="00473AC1"/>
    <w:rsid w:val="004740EE"/>
    <w:rsid w:val="0047433E"/>
    <w:rsid w:val="0047464F"/>
    <w:rsid w:val="0047467A"/>
    <w:rsid w:val="00474A9E"/>
    <w:rsid w:val="00474BD4"/>
    <w:rsid w:val="0047530E"/>
    <w:rsid w:val="0047577E"/>
    <w:rsid w:val="0047604C"/>
    <w:rsid w:val="0047634D"/>
    <w:rsid w:val="00476358"/>
    <w:rsid w:val="00476F8E"/>
    <w:rsid w:val="00477070"/>
    <w:rsid w:val="004770E9"/>
    <w:rsid w:val="004774D7"/>
    <w:rsid w:val="00477B32"/>
    <w:rsid w:val="00477C89"/>
    <w:rsid w:val="004801B7"/>
    <w:rsid w:val="00480443"/>
    <w:rsid w:val="004805D7"/>
    <w:rsid w:val="004807C4"/>
    <w:rsid w:val="00480843"/>
    <w:rsid w:val="00480BDD"/>
    <w:rsid w:val="00480D77"/>
    <w:rsid w:val="00480F2C"/>
    <w:rsid w:val="0048112D"/>
    <w:rsid w:val="004812BF"/>
    <w:rsid w:val="0048171B"/>
    <w:rsid w:val="0048177E"/>
    <w:rsid w:val="00482412"/>
    <w:rsid w:val="00482C0C"/>
    <w:rsid w:val="00482DD9"/>
    <w:rsid w:val="0048331E"/>
    <w:rsid w:val="004834C5"/>
    <w:rsid w:val="00483617"/>
    <w:rsid w:val="004837B5"/>
    <w:rsid w:val="004838A4"/>
    <w:rsid w:val="00483C2B"/>
    <w:rsid w:val="00483E76"/>
    <w:rsid w:val="00483FDF"/>
    <w:rsid w:val="0048413A"/>
    <w:rsid w:val="00484752"/>
    <w:rsid w:val="004847AE"/>
    <w:rsid w:val="00484A85"/>
    <w:rsid w:val="00484C2F"/>
    <w:rsid w:val="00485056"/>
    <w:rsid w:val="0048565C"/>
    <w:rsid w:val="0048571E"/>
    <w:rsid w:val="00485B94"/>
    <w:rsid w:val="00485E4C"/>
    <w:rsid w:val="00485E73"/>
    <w:rsid w:val="00485F5F"/>
    <w:rsid w:val="0048622D"/>
    <w:rsid w:val="00486340"/>
    <w:rsid w:val="00486772"/>
    <w:rsid w:val="00486D37"/>
    <w:rsid w:val="00486F56"/>
    <w:rsid w:val="004870D8"/>
    <w:rsid w:val="004870FA"/>
    <w:rsid w:val="004871EF"/>
    <w:rsid w:val="004876F0"/>
    <w:rsid w:val="004878E3"/>
    <w:rsid w:val="00487A7C"/>
    <w:rsid w:val="0049034C"/>
    <w:rsid w:val="0049056E"/>
    <w:rsid w:val="00490575"/>
    <w:rsid w:val="004907B0"/>
    <w:rsid w:val="00490A60"/>
    <w:rsid w:val="00490E34"/>
    <w:rsid w:val="00490E99"/>
    <w:rsid w:val="00490FFA"/>
    <w:rsid w:val="00491195"/>
    <w:rsid w:val="00491A1A"/>
    <w:rsid w:val="00491AF9"/>
    <w:rsid w:val="00491AFB"/>
    <w:rsid w:val="00492064"/>
    <w:rsid w:val="00492282"/>
    <w:rsid w:val="00492414"/>
    <w:rsid w:val="0049273F"/>
    <w:rsid w:val="00492C7D"/>
    <w:rsid w:val="00492DB8"/>
    <w:rsid w:val="00493322"/>
    <w:rsid w:val="0049340C"/>
    <w:rsid w:val="00493642"/>
    <w:rsid w:val="00493817"/>
    <w:rsid w:val="00493B82"/>
    <w:rsid w:val="00493F92"/>
    <w:rsid w:val="00494490"/>
    <w:rsid w:val="004948CC"/>
    <w:rsid w:val="00494B08"/>
    <w:rsid w:val="00494E2D"/>
    <w:rsid w:val="00494E4C"/>
    <w:rsid w:val="004952AE"/>
    <w:rsid w:val="004953E7"/>
    <w:rsid w:val="00495524"/>
    <w:rsid w:val="004957EE"/>
    <w:rsid w:val="00495883"/>
    <w:rsid w:val="004959F1"/>
    <w:rsid w:val="00495A20"/>
    <w:rsid w:val="00495C78"/>
    <w:rsid w:val="00495DCC"/>
    <w:rsid w:val="00496103"/>
    <w:rsid w:val="00496199"/>
    <w:rsid w:val="00496298"/>
    <w:rsid w:val="004962CF"/>
    <w:rsid w:val="00496849"/>
    <w:rsid w:val="00496886"/>
    <w:rsid w:val="00496E8A"/>
    <w:rsid w:val="00497A2E"/>
    <w:rsid w:val="00497D6B"/>
    <w:rsid w:val="004A0039"/>
    <w:rsid w:val="004A015C"/>
    <w:rsid w:val="004A0AB6"/>
    <w:rsid w:val="004A10B0"/>
    <w:rsid w:val="004A1EAE"/>
    <w:rsid w:val="004A22B4"/>
    <w:rsid w:val="004A23F9"/>
    <w:rsid w:val="004A241F"/>
    <w:rsid w:val="004A27E8"/>
    <w:rsid w:val="004A2A62"/>
    <w:rsid w:val="004A332F"/>
    <w:rsid w:val="004A3359"/>
    <w:rsid w:val="004A3606"/>
    <w:rsid w:val="004A386A"/>
    <w:rsid w:val="004A3950"/>
    <w:rsid w:val="004A3E24"/>
    <w:rsid w:val="004A46A1"/>
    <w:rsid w:val="004A4B0C"/>
    <w:rsid w:val="004A4B72"/>
    <w:rsid w:val="004A5069"/>
    <w:rsid w:val="004A51D5"/>
    <w:rsid w:val="004A585E"/>
    <w:rsid w:val="004A589E"/>
    <w:rsid w:val="004A5A65"/>
    <w:rsid w:val="004A5C5E"/>
    <w:rsid w:val="004A5E80"/>
    <w:rsid w:val="004A63C4"/>
    <w:rsid w:val="004A63CC"/>
    <w:rsid w:val="004A654D"/>
    <w:rsid w:val="004A6926"/>
    <w:rsid w:val="004A6A36"/>
    <w:rsid w:val="004A6A41"/>
    <w:rsid w:val="004A6B9A"/>
    <w:rsid w:val="004A7136"/>
    <w:rsid w:val="004A768B"/>
    <w:rsid w:val="004A77A7"/>
    <w:rsid w:val="004A7CC5"/>
    <w:rsid w:val="004A7E6E"/>
    <w:rsid w:val="004B0259"/>
    <w:rsid w:val="004B0CD3"/>
    <w:rsid w:val="004B1084"/>
    <w:rsid w:val="004B1406"/>
    <w:rsid w:val="004B1866"/>
    <w:rsid w:val="004B1DD2"/>
    <w:rsid w:val="004B20F5"/>
    <w:rsid w:val="004B23F3"/>
    <w:rsid w:val="004B30FD"/>
    <w:rsid w:val="004B36A5"/>
    <w:rsid w:val="004B3B72"/>
    <w:rsid w:val="004B3ED6"/>
    <w:rsid w:val="004B3F56"/>
    <w:rsid w:val="004B41F0"/>
    <w:rsid w:val="004B47AB"/>
    <w:rsid w:val="004B4D4A"/>
    <w:rsid w:val="004B54C7"/>
    <w:rsid w:val="004B593F"/>
    <w:rsid w:val="004B5F6D"/>
    <w:rsid w:val="004B5FB7"/>
    <w:rsid w:val="004B625E"/>
    <w:rsid w:val="004B657B"/>
    <w:rsid w:val="004B66F9"/>
    <w:rsid w:val="004B6923"/>
    <w:rsid w:val="004B6F41"/>
    <w:rsid w:val="004B6F57"/>
    <w:rsid w:val="004B6FB2"/>
    <w:rsid w:val="004B75FF"/>
    <w:rsid w:val="004B760B"/>
    <w:rsid w:val="004B7A7D"/>
    <w:rsid w:val="004B7FB2"/>
    <w:rsid w:val="004C0FCB"/>
    <w:rsid w:val="004C125C"/>
    <w:rsid w:val="004C1431"/>
    <w:rsid w:val="004C188E"/>
    <w:rsid w:val="004C1B3B"/>
    <w:rsid w:val="004C1E3B"/>
    <w:rsid w:val="004C2A46"/>
    <w:rsid w:val="004C2C77"/>
    <w:rsid w:val="004C2E0E"/>
    <w:rsid w:val="004C3089"/>
    <w:rsid w:val="004C31AC"/>
    <w:rsid w:val="004C32CE"/>
    <w:rsid w:val="004C33EB"/>
    <w:rsid w:val="004C369E"/>
    <w:rsid w:val="004C3738"/>
    <w:rsid w:val="004C3833"/>
    <w:rsid w:val="004C3979"/>
    <w:rsid w:val="004C3C02"/>
    <w:rsid w:val="004C3E4C"/>
    <w:rsid w:val="004C431B"/>
    <w:rsid w:val="004C4338"/>
    <w:rsid w:val="004C4540"/>
    <w:rsid w:val="004C4A90"/>
    <w:rsid w:val="004C4B6A"/>
    <w:rsid w:val="004C4B97"/>
    <w:rsid w:val="004C4E71"/>
    <w:rsid w:val="004C5252"/>
    <w:rsid w:val="004C54DD"/>
    <w:rsid w:val="004C5B08"/>
    <w:rsid w:val="004C5E65"/>
    <w:rsid w:val="004C6216"/>
    <w:rsid w:val="004C63A4"/>
    <w:rsid w:val="004C66A0"/>
    <w:rsid w:val="004C68E5"/>
    <w:rsid w:val="004C7114"/>
    <w:rsid w:val="004C7254"/>
    <w:rsid w:val="004C7890"/>
    <w:rsid w:val="004C7DBB"/>
    <w:rsid w:val="004D0168"/>
    <w:rsid w:val="004D055E"/>
    <w:rsid w:val="004D0F6C"/>
    <w:rsid w:val="004D1CDA"/>
    <w:rsid w:val="004D1F96"/>
    <w:rsid w:val="004D21E4"/>
    <w:rsid w:val="004D23E2"/>
    <w:rsid w:val="004D24BB"/>
    <w:rsid w:val="004D298C"/>
    <w:rsid w:val="004D3794"/>
    <w:rsid w:val="004D3A41"/>
    <w:rsid w:val="004D3A58"/>
    <w:rsid w:val="004D3D4E"/>
    <w:rsid w:val="004D3ECC"/>
    <w:rsid w:val="004D435C"/>
    <w:rsid w:val="004D496E"/>
    <w:rsid w:val="004D4E91"/>
    <w:rsid w:val="004D525F"/>
    <w:rsid w:val="004D55FD"/>
    <w:rsid w:val="004D5A01"/>
    <w:rsid w:val="004D5C98"/>
    <w:rsid w:val="004D5EC1"/>
    <w:rsid w:val="004D5F2A"/>
    <w:rsid w:val="004D5FC5"/>
    <w:rsid w:val="004D65B5"/>
    <w:rsid w:val="004D6B87"/>
    <w:rsid w:val="004D6BB9"/>
    <w:rsid w:val="004D6FF6"/>
    <w:rsid w:val="004D75ED"/>
    <w:rsid w:val="004D79B9"/>
    <w:rsid w:val="004D7F61"/>
    <w:rsid w:val="004D7F80"/>
    <w:rsid w:val="004E17C7"/>
    <w:rsid w:val="004E1882"/>
    <w:rsid w:val="004E1B99"/>
    <w:rsid w:val="004E1BF1"/>
    <w:rsid w:val="004E20ED"/>
    <w:rsid w:val="004E33ED"/>
    <w:rsid w:val="004E38D4"/>
    <w:rsid w:val="004E3D79"/>
    <w:rsid w:val="004E4113"/>
    <w:rsid w:val="004E4242"/>
    <w:rsid w:val="004E4BAA"/>
    <w:rsid w:val="004E53BF"/>
    <w:rsid w:val="004E549C"/>
    <w:rsid w:val="004E555C"/>
    <w:rsid w:val="004E568D"/>
    <w:rsid w:val="004E58DC"/>
    <w:rsid w:val="004E5DA1"/>
    <w:rsid w:val="004E5FD6"/>
    <w:rsid w:val="004E6177"/>
    <w:rsid w:val="004E639C"/>
    <w:rsid w:val="004E6430"/>
    <w:rsid w:val="004E65E7"/>
    <w:rsid w:val="004E67F9"/>
    <w:rsid w:val="004E6B0E"/>
    <w:rsid w:val="004E6D99"/>
    <w:rsid w:val="004E70C6"/>
    <w:rsid w:val="004E718C"/>
    <w:rsid w:val="004E737F"/>
    <w:rsid w:val="004E772C"/>
    <w:rsid w:val="004E7DCF"/>
    <w:rsid w:val="004E7F46"/>
    <w:rsid w:val="004E7F50"/>
    <w:rsid w:val="004F0626"/>
    <w:rsid w:val="004F0BDD"/>
    <w:rsid w:val="004F10A1"/>
    <w:rsid w:val="004F1258"/>
    <w:rsid w:val="004F12FB"/>
    <w:rsid w:val="004F199D"/>
    <w:rsid w:val="004F1CCB"/>
    <w:rsid w:val="004F1E15"/>
    <w:rsid w:val="004F1E51"/>
    <w:rsid w:val="004F2355"/>
    <w:rsid w:val="004F2565"/>
    <w:rsid w:val="004F2A62"/>
    <w:rsid w:val="004F2B5E"/>
    <w:rsid w:val="004F38C6"/>
    <w:rsid w:val="004F3973"/>
    <w:rsid w:val="004F39DD"/>
    <w:rsid w:val="004F40F6"/>
    <w:rsid w:val="004F41EC"/>
    <w:rsid w:val="004F4340"/>
    <w:rsid w:val="004F43EF"/>
    <w:rsid w:val="004F45AA"/>
    <w:rsid w:val="004F45B3"/>
    <w:rsid w:val="004F45BD"/>
    <w:rsid w:val="004F45E8"/>
    <w:rsid w:val="004F47C2"/>
    <w:rsid w:val="004F4B6A"/>
    <w:rsid w:val="004F4C28"/>
    <w:rsid w:val="004F4FD5"/>
    <w:rsid w:val="004F511D"/>
    <w:rsid w:val="004F5BC4"/>
    <w:rsid w:val="004F5E88"/>
    <w:rsid w:val="004F6151"/>
    <w:rsid w:val="004F6159"/>
    <w:rsid w:val="004F641D"/>
    <w:rsid w:val="004F655F"/>
    <w:rsid w:val="004F6A6B"/>
    <w:rsid w:val="004F6E35"/>
    <w:rsid w:val="004F732A"/>
    <w:rsid w:val="004F7367"/>
    <w:rsid w:val="004F7792"/>
    <w:rsid w:val="004F77F9"/>
    <w:rsid w:val="004F7991"/>
    <w:rsid w:val="0050001E"/>
    <w:rsid w:val="00500697"/>
    <w:rsid w:val="00500C46"/>
    <w:rsid w:val="00500CCD"/>
    <w:rsid w:val="00500F48"/>
    <w:rsid w:val="00501383"/>
    <w:rsid w:val="005016D5"/>
    <w:rsid w:val="00501779"/>
    <w:rsid w:val="00501C98"/>
    <w:rsid w:val="00502208"/>
    <w:rsid w:val="00502515"/>
    <w:rsid w:val="00502961"/>
    <w:rsid w:val="00502A4F"/>
    <w:rsid w:val="00502E31"/>
    <w:rsid w:val="00502FA7"/>
    <w:rsid w:val="005033B6"/>
    <w:rsid w:val="0050377F"/>
    <w:rsid w:val="005039FA"/>
    <w:rsid w:val="00503D1B"/>
    <w:rsid w:val="005040B9"/>
    <w:rsid w:val="00504886"/>
    <w:rsid w:val="00504EAA"/>
    <w:rsid w:val="005055B3"/>
    <w:rsid w:val="0050564D"/>
    <w:rsid w:val="005059E9"/>
    <w:rsid w:val="00505F34"/>
    <w:rsid w:val="00506342"/>
    <w:rsid w:val="00506764"/>
    <w:rsid w:val="00506C03"/>
    <w:rsid w:val="00506CAA"/>
    <w:rsid w:val="0050780B"/>
    <w:rsid w:val="005078D0"/>
    <w:rsid w:val="0050799D"/>
    <w:rsid w:val="00507BBE"/>
    <w:rsid w:val="00507EBA"/>
    <w:rsid w:val="00510096"/>
    <w:rsid w:val="00510426"/>
    <w:rsid w:val="005109B7"/>
    <w:rsid w:val="005111E0"/>
    <w:rsid w:val="0051133D"/>
    <w:rsid w:val="00511486"/>
    <w:rsid w:val="00511606"/>
    <w:rsid w:val="00511C7F"/>
    <w:rsid w:val="00512311"/>
    <w:rsid w:val="0051247E"/>
    <w:rsid w:val="00512512"/>
    <w:rsid w:val="00512679"/>
    <w:rsid w:val="00512894"/>
    <w:rsid w:val="005128CC"/>
    <w:rsid w:val="00512EBF"/>
    <w:rsid w:val="0051301E"/>
    <w:rsid w:val="0051357D"/>
    <w:rsid w:val="00513CC0"/>
    <w:rsid w:val="00513FD3"/>
    <w:rsid w:val="00514264"/>
    <w:rsid w:val="005145EB"/>
    <w:rsid w:val="005156A0"/>
    <w:rsid w:val="005156ED"/>
    <w:rsid w:val="005159D4"/>
    <w:rsid w:val="00515A6F"/>
    <w:rsid w:val="00515DDC"/>
    <w:rsid w:val="00515F8C"/>
    <w:rsid w:val="005167E6"/>
    <w:rsid w:val="00516A09"/>
    <w:rsid w:val="00516CD7"/>
    <w:rsid w:val="00516D0A"/>
    <w:rsid w:val="0051729A"/>
    <w:rsid w:val="0051743A"/>
    <w:rsid w:val="00517EF5"/>
    <w:rsid w:val="005205EC"/>
    <w:rsid w:val="0052099F"/>
    <w:rsid w:val="00520A41"/>
    <w:rsid w:val="00520E8F"/>
    <w:rsid w:val="0052105B"/>
    <w:rsid w:val="0052106F"/>
    <w:rsid w:val="00522078"/>
    <w:rsid w:val="00522166"/>
    <w:rsid w:val="00522699"/>
    <w:rsid w:val="00523101"/>
    <w:rsid w:val="0052310E"/>
    <w:rsid w:val="0052313A"/>
    <w:rsid w:val="0052332D"/>
    <w:rsid w:val="00523866"/>
    <w:rsid w:val="00525023"/>
    <w:rsid w:val="005258EE"/>
    <w:rsid w:val="00525C39"/>
    <w:rsid w:val="00525C71"/>
    <w:rsid w:val="00525D34"/>
    <w:rsid w:val="00526047"/>
    <w:rsid w:val="00526216"/>
    <w:rsid w:val="00526645"/>
    <w:rsid w:val="005267B0"/>
    <w:rsid w:val="00526B6A"/>
    <w:rsid w:val="00526C75"/>
    <w:rsid w:val="005273E2"/>
    <w:rsid w:val="0052769C"/>
    <w:rsid w:val="005278F9"/>
    <w:rsid w:val="00527CCE"/>
    <w:rsid w:val="00527E30"/>
    <w:rsid w:val="005301D1"/>
    <w:rsid w:val="005302A2"/>
    <w:rsid w:val="00530356"/>
    <w:rsid w:val="00530A86"/>
    <w:rsid w:val="00530B1F"/>
    <w:rsid w:val="0053116F"/>
    <w:rsid w:val="005313C4"/>
    <w:rsid w:val="005314D2"/>
    <w:rsid w:val="005314F8"/>
    <w:rsid w:val="00531783"/>
    <w:rsid w:val="005318DB"/>
    <w:rsid w:val="00531939"/>
    <w:rsid w:val="005319E4"/>
    <w:rsid w:val="00531B59"/>
    <w:rsid w:val="00531C71"/>
    <w:rsid w:val="005324F4"/>
    <w:rsid w:val="005325CA"/>
    <w:rsid w:val="00532612"/>
    <w:rsid w:val="00532C7C"/>
    <w:rsid w:val="00532DFC"/>
    <w:rsid w:val="00532EEF"/>
    <w:rsid w:val="00533740"/>
    <w:rsid w:val="00533A7E"/>
    <w:rsid w:val="00534331"/>
    <w:rsid w:val="005343D3"/>
    <w:rsid w:val="0053498A"/>
    <w:rsid w:val="00535058"/>
    <w:rsid w:val="005360E8"/>
    <w:rsid w:val="00536231"/>
    <w:rsid w:val="005365EB"/>
    <w:rsid w:val="00536A38"/>
    <w:rsid w:val="00536E53"/>
    <w:rsid w:val="00536E67"/>
    <w:rsid w:val="00537239"/>
    <w:rsid w:val="0053764C"/>
    <w:rsid w:val="00537CB9"/>
    <w:rsid w:val="0054024C"/>
    <w:rsid w:val="005407F3"/>
    <w:rsid w:val="00540BC2"/>
    <w:rsid w:val="00541296"/>
    <w:rsid w:val="00541B70"/>
    <w:rsid w:val="00541D25"/>
    <w:rsid w:val="005421E7"/>
    <w:rsid w:val="005424B8"/>
    <w:rsid w:val="00542576"/>
    <w:rsid w:val="00542EF8"/>
    <w:rsid w:val="00542F44"/>
    <w:rsid w:val="00543024"/>
    <w:rsid w:val="00543A28"/>
    <w:rsid w:val="00543EB7"/>
    <w:rsid w:val="00544162"/>
    <w:rsid w:val="0054486A"/>
    <w:rsid w:val="00544CBF"/>
    <w:rsid w:val="005450B1"/>
    <w:rsid w:val="00545AAB"/>
    <w:rsid w:val="00546CD7"/>
    <w:rsid w:val="00547678"/>
    <w:rsid w:val="0054787C"/>
    <w:rsid w:val="00550569"/>
    <w:rsid w:val="0055056D"/>
    <w:rsid w:val="005507CE"/>
    <w:rsid w:val="00550CFD"/>
    <w:rsid w:val="00551340"/>
    <w:rsid w:val="00551457"/>
    <w:rsid w:val="005515E3"/>
    <w:rsid w:val="005515E9"/>
    <w:rsid w:val="00551774"/>
    <w:rsid w:val="00552099"/>
    <w:rsid w:val="00552A83"/>
    <w:rsid w:val="00552B05"/>
    <w:rsid w:val="00552B70"/>
    <w:rsid w:val="00553077"/>
    <w:rsid w:val="00553751"/>
    <w:rsid w:val="00553C6B"/>
    <w:rsid w:val="00553DC5"/>
    <w:rsid w:val="00553F05"/>
    <w:rsid w:val="00554221"/>
    <w:rsid w:val="00554631"/>
    <w:rsid w:val="005547E6"/>
    <w:rsid w:val="00554969"/>
    <w:rsid w:val="00554A0D"/>
    <w:rsid w:val="00554D53"/>
    <w:rsid w:val="00554EEF"/>
    <w:rsid w:val="00554F25"/>
    <w:rsid w:val="00554F89"/>
    <w:rsid w:val="00555D0A"/>
    <w:rsid w:val="00556274"/>
    <w:rsid w:val="00556539"/>
    <w:rsid w:val="00556544"/>
    <w:rsid w:val="005568E1"/>
    <w:rsid w:val="00556A07"/>
    <w:rsid w:val="00556CDF"/>
    <w:rsid w:val="00556EF5"/>
    <w:rsid w:val="00556FA8"/>
    <w:rsid w:val="005578A3"/>
    <w:rsid w:val="0055793E"/>
    <w:rsid w:val="00560046"/>
    <w:rsid w:val="00560620"/>
    <w:rsid w:val="00561844"/>
    <w:rsid w:val="00561A64"/>
    <w:rsid w:val="00561EA5"/>
    <w:rsid w:val="005621A8"/>
    <w:rsid w:val="00562269"/>
    <w:rsid w:val="00562432"/>
    <w:rsid w:val="00562A53"/>
    <w:rsid w:val="005630EF"/>
    <w:rsid w:val="00563AAB"/>
    <w:rsid w:val="00563B59"/>
    <w:rsid w:val="00563D64"/>
    <w:rsid w:val="00564033"/>
    <w:rsid w:val="005641BA"/>
    <w:rsid w:val="00564250"/>
    <w:rsid w:val="005647B0"/>
    <w:rsid w:val="00564B70"/>
    <w:rsid w:val="00565613"/>
    <w:rsid w:val="0056574F"/>
    <w:rsid w:val="005657DD"/>
    <w:rsid w:val="00565BDC"/>
    <w:rsid w:val="00565C87"/>
    <w:rsid w:val="00565D2E"/>
    <w:rsid w:val="00565ED0"/>
    <w:rsid w:val="00565EE9"/>
    <w:rsid w:val="00565F09"/>
    <w:rsid w:val="00566ACE"/>
    <w:rsid w:val="00566C54"/>
    <w:rsid w:val="00566D58"/>
    <w:rsid w:val="00567165"/>
    <w:rsid w:val="005673F4"/>
    <w:rsid w:val="0056764B"/>
    <w:rsid w:val="00567674"/>
    <w:rsid w:val="00567B92"/>
    <w:rsid w:val="005703D4"/>
    <w:rsid w:val="005704A7"/>
    <w:rsid w:val="0057059A"/>
    <w:rsid w:val="00570C3F"/>
    <w:rsid w:val="00571249"/>
    <w:rsid w:val="00571500"/>
    <w:rsid w:val="00571536"/>
    <w:rsid w:val="00571933"/>
    <w:rsid w:val="00571A1C"/>
    <w:rsid w:val="00571DEB"/>
    <w:rsid w:val="00571E1F"/>
    <w:rsid w:val="00572085"/>
    <w:rsid w:val="00572161"/>
    <w:rsid w:val="00572868"/>
    <w:rsid w:val="00572C20"/>
    <w:rsid w:val="00573213"/>
    <w:rsid w:val="00573224"/>
    <w:rsid w:val="00573318"/>
    <w:rsid w:val="005734F1"/>
    <w:rsid w:val="00573A4C"/>
    <w:rsid w:val="00573B10"/>
    <w:rsid w:val="00573B5D"/>
    <w:rsid w:val="00573DD6"/>
    <w:rsid w:val="00573F43"/>
    <w:rsid w:val="0057431C"/>
    <w:rsid w:val="005743F3"/>
    <w:rsid w:val="005745FF"/>
    <w:rsid w:val="00574AC2"/>
    <w:rsid w:val="00574B61"/>
    <w:rsid w:val="00574D60"/>
    <w:rsid w:val="00574D97"/>
    <w:rsid w:val="0057530E"/>
    <w:rsid w:val="0057534D"/>
    <w:rsid w:val="0057590D"/>
    <w:rsid w:val="00575C51"/>
    <w:rsid w:val="00575D6F"/>
    <w:rsid w:val="00576227"/>
    <w:rsid w:val="005763AA"/>
    <w:rsid w:val="00576A79"/>
    <w:rsid w:val="00576A84"/>
    <w:rsid w:val="00576EC9"/>
    <w:rsid w:val="00577008"/>
    <w:rsid w:val="005772A2"/>
    <w:rsid w:val="00577BCC"/>
    <w:rsid w:val="00577CC9"/>
    <w:rsid w:val="005804CC"/>
    <w:rsid w:val="005809DE"/>
    <w:rsid w:val="00580A2E"/>
    <w:rsid w:val="00580ABC"/>
    <w:rsid w:val="00580AC8"/>
    <w:rsid w:val="00580EDB"/>
    <w:rsid w:val="00580F54"/>
    <w:rsid w:val="005812AA"/>
    <w:rsid w:val="005815BD"/>
    <w:rsid w:val="00581A74"/>
    <w:rsid w:val="00581AB7"/>
    <w:rsid w:val="00581AC3"/>
    <w:rsid w:val="005823E0"/>
    <w:rsid w:val="00582562"/>
    <w:rsid w:val="005826F5"/>
    <w:rsid w:val="00582A1B"/>
    <w:rsid w:val="00582ABB"/>
    <w:rsid w:val="00582B54"/>
    <w:rsid w:val="00582BB1"/>
    <w:rsid w:val="00582EB3"/>
    <w:rsid w:val="0058312B"/>
    <w:rsid w:val="0058367F"/>
    <w:rsid w:val="00583DD0"/>
    <w:rsid w:val="0058410E"/>
    <w:rsid w:val="0058420C"/>
    <w:rsid w:val="00584362"/>
    <w:rsid w:val="00585100"/>
    <w:rsid w:val="00585307"/>
    <w:rsid w:val="00585CC1"/>
    <w:rsid w:val="005863B4"/>
    <w:rsid w:val="005863DE"/>
    <w:rsid w:val="005869A3"/>
    <w:rsid w:val="00586D90"/>
    <w:rsid w:val="00587330"/>
    <w:rsid w:val="00587990"/>
    <w:rsid w:val="005879E5"/>
    <w:rsid w:val="005904A3"/>
    <w:rsid w:val="00590AF6"/>
    <w:rsid w:val="00590C00"/>
    <w:rsid w:val="00590D2A"/>
    <w:rsid w:val="00591DBD"/>
    <w:rsid w:val="00592156"/>
    <w:rsid w:val="005922FE"/>
    <w:rsid w:val="0059233B"/>
    <w:rsid w:val="0059401A"/>
    <w:rsid w:val="0059415D"/>
    <w:rsid w:val="00594381"/>
    <w:rsid w:val="00594C44"/>
    <w:rsid w:val="00594D07"/>
    <w:rsid w:val="00595980"/>
    <w:rsid w:val="00595DC4"/>
    <w:rsid w:val="005965A3"/>
    <w:rsid w:val="0059676A"/>
    <w:rsid w:val="0059683F"/>
    <w:rsid w:val="00596948"/>
    <w:rsid w:val="00596F12"/>
    <w:rsid w:val="005975E7"/>
    <w:rsid w:val="005977C1"/>
    <w:rsid w:val="005977D3"/>
    <w:rsid w:val="00597D16"/>
    <w:rsid w:val="005A0DDA"/>
    <w:rsid w:val="005A1E7D"/>
    <w:rsid w:val="005A2630"/>
    <w:rsid w:val="005A3071"/>
    <w:rsid w:val="005A309F"/>
    <w:rsid w:val="005A3B9F"/>
    <w:rsid w:val="005A3F06"/>
    <w:rsid w:val="005A4596"/>
    <w:rsid w:val="005A48BD"/>
    <w:rsid w:val="005A498A"/>
    <w:rsid w:val="005A50E4"/>
    <w:rsid w:val="005A5314"/>
    <w:rsid w:val="005A5597"/>
    <w:rsid w:val="005A5730"/>
    <w:rsid w:val="005A580E"/>
    <w:rsid w:val="005A58DE"/>
    <w:rsid w:val="005A5EA1"/>
    <w:rsid w:val="005A625B"/>
    <w:rsid w:val="005A6371"/>
    <w:rsid w:val="005A69C1"/>
    <w:rsid w:val="005A6A2F"/>
    <w:rsid w:val="005A6BFC"/>
    <w:rsid w:val="005A7138"/>
    <w:rsid w:val="005A7158"/>
    <w:rsid w:val="005A73DF"/>
    <w:rsid w:val="005A75F9"/>
    <w:rsid w:val="005A7928"/>
    <w:rsid w:val="005A796A"/>
    <w:rsid w:val="005A7B06"/>
    <w:rsid w:val="005B05E8"/>
    <w:rsid w:val="005B0B2D"/>
    <w:rsid w:val="005B0F7E"/>
    <w:rsid w:val="005B0FF1"/>
    <w:rsid w:val="005B10CC"/>
    <w:rsid w:val="005B1103"/>
    <w:rsid w:val="005B11FB"/>
    <w:rsid w:val="005B128C"/>
    <w:rsid w:val="005B1B1C"/>
    <w:rsid w:val="005B1BAD"/>
    <w:rsid w:val="005B1ED2"/>
    <w:rsid w:val="005B1F77"/>
    <w:rsid w:val="005B1FB9"/>
    <w:rsid w:val="005B2139"/>
    <w:rsid w:val="005B2598"/>
    <w:rsid w:val="005B2FFB"/>
    <w:rsid w:val="005B34A1"/>
    <w:rsid w:val="005B37F4"/>
    <w:rsid w:val="005B38C1"/>
    <w:rsid w:val="005B3FBE"/>
    <w:rsid w:val="005B4431"/>
    <w:rsid w:val="005B47DE"/>
    <w:rsid w:val="005B5324"/>
    <w:rsid w:val="005B56D9"/>
    <w:rsid w:val="005B59C0"/>
    <w:rsid w:val="005B5B26"/>
    <w:rsid w:val="005B5D8B"/>
    <w:rsid w:val="005B5DDA"/>
    <w:rsid w:val="005B6430"/>
    <w:rsid w:val="005B65E0"/>
    <w:rsid w:val="005B67E2"/>
    <w:rsid w:val="005B6B89"/>
    <w:rsid w:val="005B6BC8"/>
    <w:rsid w:val="005B7675"/>
    <w:rsid w:val="005B7A10"/>
    <w:rsid w:val="005B7AA8"/>
    <w:rsid w:val="005B7B9D"/>
    <w:rsid w:val="005C019F"/>
    <w:rsid w:val="005C02CF"/>
    <w:rsid w:val="005C08D9"/>
    <w:rsid w:val="005C0B5A"/>
    <w:rsid w:val="005C0C18"/>
    <w:rsid w:val="005C1171"/>
    <w:rsid w:val="005C11C8"/>
    <w:rsid w:val="005C1283"/>
    <w:rsid w:val="005C1A16"/>
    <w:rsid w:val="005C1AB5"/>
    <w:rsid w:val="005C1D7D"/>
    <w:rsid w:val="005C1F29"/>
    <w:rsid w:val="005C1F2C"/>
    <w:rsid w:val="005C247F"/>
    <w:rsid w:val="005C2651"/>
    <w:rsid w:val="005C26CB"/>
    <w:rsid w:val="005C2C1A"/>
    <w:rsid w:val="005C2D4F"/>
    <w:rsid w:val="005C318D"/>
    <w:rsid w:val="005C3258"/>
    <w:rsid w:val="005C3493"/>
    <w:rsid w:val="005C3503"/>
    <w:rsid w:val="005C3578"/>
    <w:rsid w:val="005C38BF"/>
    <w:rsid w:val="005C4023"/>
    <w:rsid w:val="005C40EE"/>
    <w:rsid w:val="005C42D1"/>
    <w:rsid w:val="005C46E5"/>
    <w:rsid w:val="005C46F2"/>
    <w:rsid w:val="005C4E28"/>
    <w:rsid w:val="005C4E7E"/>
    <w:rsid w:val="005C54D8"/>
    <w:rsid w:val="005C553F"/>
    <w:rsid w:val="005C6188"/>
    <w:rsid w:val="005C63CC"/>
    <w:rsid w:val="005C6B07"/>
    <w:rsid w:val="005C7045"/>
    <w:rsid w:val="005C720A"/>
    <w:rsid w:val="005C7277"/>
    <w:rsid w:val="005C7E90"/>
    <w:rsid w:val="005D01F5"/>
    <w:rsid w:val="005D01FB"/>
    <w:rsid w:val="005D048E"/>
    <w:rsid w:val="005D069B"/>
    <w:rsid w:val="005D0BC5"/>
    <w:rsid w:val="005D0C55"/>
    <w:rsid w:val="005D107E"/>
    <w:rsid w:val="005D126A"/>
    <w:rsid w:val="005D2A9A"/>
    <w:rsid w:val="005D2BC8"/>
    <w:rsid w:val="005D2D37"/>
    <w:rsid w:val="005D2EF3"/>
    <w:rsid w:val="005D30DF"/>
    <w:rsid w:val="005D323F"/>
    <w:rsid w:val="005D3330"/>
    <w:rsid w:val="005D3553"/>
    <w:rsid w:val="005D3634"/>
    <w:rsid w:val="005D3DE5"/>
    <w:rsid w:val="005D4097"/>
    <w:rsid w:val="005D478F"/>
    <w:rsid w:val="005D4AAA"/>
    <w:rsid w:val="005D4DDC"/>
    <w:rsid w:val="005D507E"/>
    <w:rsid w:val="005D535C"/>
    <w:rsid w:val="005D5505"/>
    <w:rsid w:val="005D5661"/>
    <w:rsid w:val="005D6176"/>
    <w:rsid w:val="005D6229"/>
    <w:rsid w:val="005D659A"/>
    <w:rsid w:val="005D6894"/>
    <w:rsid w:val="005D6BC8"/>
    <w:rsid w:val="005D74E7"/>
    <w:rsid w:val="005D751C"/>
    <w:rsid w:val="005D7C59"/>
    <w:rsid w:val="005D7CE7"/>
    <w:rsid w:val="005D7E1B"/>
    <w:rsid w:val="005E0712"/>
    <w:rsid w:val="005E0BEF"/>
    <w:rsid w:val="005E0C56"/>
    <w:rsid w:val="005E0CE2"/>
    <w:rsid w:val="005E0E2A"/>
    <w:rsid w:val="005E1212"/>
    <w:rsid w:val="005E1218"/>
    <w:rsid w:val="005E18BF"/>
    <w:rsid w:val="005E33C5"/>
    <w:rsid w:val="005E3405"/>
    <w:rsid w:val="005E3B40"/>
    <w:rsid w:val="005E3DDE"/>
    <w:rsid w:val="005E3E56"/>
    <w:rsid w:val="005E4087"/>
    <w:rsid w:val="005E4149"/>
    <w:rsid w:val="005E438F"/>
    <w:rsid w:val="005E4658"/>
    <w:rsid w:val="005E4839"/>
    <w:rsid w:val="005E48A0"/>
    <w:rsid w:val="005E4C62"/>
    <w:rsid w:val="005E4C66"/>
    <w:rsid w:val="005E4E4A"/>
    <w:rsid w:val="005E52C3"/>
    <w:rsid w:val="005E572C"/>
    <w:rsid w:val="005E583C"/>
    <w:rsid w:val="005E675B"/>
    <w:rsid w:val="005E720E"/>
    <w:rsid w:val="005E7734"/>
    <w:rsid w:val="005E7C79"/>
    <w:rsid w:val="005E7EA1"/>
    <w:rsid w:val="005F00EC"/>
    <w:rsid w:val="005F02E3"/>
    <w:rsid w:val="005F03A7"/>
    <w:rsid w:val="005F0F48"/>
    <w:rsid w:val="005F12DE"/>
    <w:rsid w:val="005F1435"/>
    <w:rsid w:val="005F15DD"/>
    <w:rsid w:val="005F1A62"/>
    <w:rsid w:val="005F32A0"/>
    <w:rsid w:val="005F3661"/>
    <w:rsid w:val="005F38EA"/>
    <w:rsid w:val="005F3CCF"/>
    <w:rsid w:val="005F3EAE"/>
    <w:rsid w:val="005F3F1E"/>
    <w:rsid w:val="005F418A"/>
    <w:rsid w:val="005F42A4"/>
    <w:rsid w:val="005F51CE"/>
    <w:rsid w:val="005F5281"/>
    <w:rsid w:val="005F5710"/>
    <w:rsid w:val="005F5843"/>
    <w:rsid w:val="005F5DC8"/>
    <w:rsid w:val="005F5EB1"/>
    <w:rsid w:val="005F616B"/>
    <w:rsid w:val="005F6173"/>
    <w:rsid w:val="005F61AD"/>
    <w:rsid w:val="005F63D0"/>
    <w:rsid w:val="005F64F4"/>
    <w:rsid w:val="005F65C3"/>
    <w:rsid w:val="005F677F"/>
    <w:rsid w:val="005F6ACD"/>
    <w:rsid w:val="005F6F41"/>
    <w:rsid w:val="005F73E1"/>
    <w:rsid w:val="005F7446"/>
    <w:rsid w:val="005F7F06"/>
    <w:rsid w:val="006000CE"/>
    <w:rsid w:val="006004BC"/>
    <w:rsid w:val="00600500"/>
    <w:rsid w:val="006005BF"/>
    <w:rsid w:val="00600830"/>
    <w:rsid w:val="00600CD4"/>
    <w:rsid w:val="00600DA5"/>
    <w:rsid w:val="00600EB9"/>
    <w:rsid w:val="00600EE3"/>
    <w:rsid w:val="00601372"/>
    <w:rsid w:val="006013C9"/>
    <w:rsid w:val="006016E4"/>
    <w:rsid w:val="00601C0F"/>
    <w:rsid w:val="00601D93"/>
    <w:rsid w:val="00601DF1"/>
    <w:rsid w:val="0060238B"/>
    <w:rsid w:val="00602DAD"/>
    <w:rsid w:val="006037D1"/>
    <w:rsid w:val="00603D01"/>
    <w:rsid w:val="00603F06"/>
    <w:rsid w:val="006043B0"/>
    <w:rsid w:val="0060458D"/>
    <w:rsid w:val="00604B94"/>
    <w:rsid w:val="00604E58"/>
    <w:rsid w:val="00605283"/>
    <w:rsid w:val="00605317"/>
    <w:rsid w:val="006057A6"/>
    <w:rsid w:val="0060594C"/>
    <w:rsid w:val="00605AC1"/>
    <w:rsid w:val="0060606A"/>
    <w:rsid w:val="0060690B"/>
    <w:rsid w:val="00606BA1"/>
    <w:rsid w:val="00606DBB"/>
    <w:rsid w:val="00607ABD"/>
    <w:rsid w:val="00607D22"/>
    <w:rsid w:val="00607D38"/>
    <w:rsid w:val="00610A05"/>
    <w:rsid w:val="0061126E"/>
    <w:rsid w:val="0061146D"/>
    <w:rsid w:val="0061163E"/>
    <w:rsid w:val="00611CCF"/>
    <w:rsid w:val="0061206B"/>
    <w:rsid w:val="00612487"/>
    <w:rsid w:val="00612CE8"/>
    <w:rsid w:val="00612D09"/>
    <w:rsid w:val="006137CE"/>
    <w:rsid w:val="00613A45"/>
    <w:rsid w:val="00613B4E"/>
    <w:rsid w:val="006146A6"/>
    <w:rsid w:val="006146C7"/>
    <w:rsid w:val="006147DE"/>
    <w:rsid w:val="00614850"/>
    <w:rsid w:val="00614DAE"/>
    <w:rsid w:val="006151BD"/>
    <w:rsid w:val="00615241"/>
    <w:rsid w:val="00615678"/>
    <w:rsid w:val="00615B5B"/>
    <w:rsid w:val="00615EF2"/>
    <w:rsid w:val="006174F3"/>
    <w:rsid w:val="00617D6A"/>
    <w:rsid w:val="00617E88"/>
    <w:rsid w:val="00620E3E"/>
    <w:rsid w:val="006211A5"/>
    <w:rsid w:val="00621705"/>
    <w:rsid w:val="00621796"/>
    <w:rsid w:val="00621A7E"/>
    <w:rsid w:val="00621B11"/>
    <w:rsid w:val="00621EB4"/>
    <w:rsid w:val="0062265F"/>
    <w:rsid w:val="006230BD"/>
    <w:rsid w:val="00623569"/>
    <w:rsid w:val="0062392E"/>
    <w:rsid w:val="00623D11"/>
    <w:rsid w:val="00623F0E"/>
    <w:rsid w:val="00624DCE"/>
    <w:rsid w:val="00625115"/>
    <w:rsid w:val="006251EE"/>
    <w:rsid w:val="006254E9"/>
    <w:rsid w:val="006255C7"/>
    <w:rsid w:val="006261DD"/>
    <w:rsid w:val="00626785"/>
    <w:rsid w:val="006267CE"/>
    <w:rsid w:val="0062681B"/>
    <w:rsid w:val="00626839"/>
    <w:rsid w:val="00626879"/>
    <w:rsid w:val="00626975"/>
    <w:rsid w:val="00626F92"/>
    <w:rsid w:val="00626FE5"/>
    <w:rsid w:val="006270A2"/>
    <w:rsid w:val="00627202"/>
    <w:rsid w:val="00627453"/>
    <w:rsid w:val="006276B1"/>
    <w:rsid w:val="00627AD3"/>
    <w:rsid w:val="006303A1"/>
    <w:rsid w:val="00630489"/>
    <w:rsid w:val="00630A24"/>
    <w:rsid w:val="00630AFF"/>
    <w:rsid w:val="006310D5"/>
    <w:rsid w:val="00631325"/>
    <w:rsid w:val="00631374"/>
    <w:rsid w:val="00631404"/>
    <w:rsid w:val="0063236F"/>
    <w:rsid w:val="00632545"/>
    <w:rsid w:val="006333AE"/>
    <w:rsid w:val="00633502"/>
    <w:rsid w:val="0063353A"/>
    <w:rsid w:val="006346C0"/>
    <w:rsid w:val="006357C6"/>
    <w:rsid w:val="006357D1"/>
    <w:rsid w:val="00635E8B"/>
    <w:rsid w:val="0063652F"/>
    <w:rsid w:val="006366AA"/>
    <w:rsid w:val="006366BB"/>
    <w:rsid w:val="00636A1A"/>
    <w:rsid w:val="0063758B"/>
    <w:rsid w:val="006375C8"/>
    <w:rsid w:val="006377E9"/>
    <w:rsid w:val="00637A8F"/>
    <w:rsid w:val="00637C12"/>
    <w:rsid w:val="00637C15"/>
    <w:rsid w:val="00637F8E"/>
    <w:rsid w:val="00640244"/>
    <w:rsid w:val="00640400"/>
    <w:rsid w:val="00640967"/>
    <w:rsid w:val="00640EFB"/>
    <w:rsid w:val="00640F6B"/>
    <w:rsid w:val="0064101D"/>
    <w:rsid w:val="0064154B"/>
    <w:rsid w:val="006415A8"/>
    <w:rsid w:val="00641701"/>
    <w:rsid w:val="0064182A"/>
    <w:rsid w:val="00641DBD"/>
    <w:rsid w:val="00642552"/>
    <w:rsid w:val="00642BB7"/>
    <w:rsid w:val="00642F17"/>
    <w:rsid w:val="00643102"/>
    <w:rsid w:val="00643599"/>
    <w:rsid w:val="006436F2"/>
    <w:rsid w:val="00643F69"/>
    <w:rsid w:val="0064522A"/>
    <w:rsid w:val="006453A9"/>
    <w:rsid w:val="006457E2"/>
    <w:rsid w:val="00645F8A"/>
    <w:rsid w:val="006461D3"/>
    <w:rsid w:val="006468A8"/>
    <w:rsid w:val="00646C5C"/>
    <w:rsid w:val="0064742C"/>
    <w:rsid w:val="00647617"/>
    <w:rsid w:val="00647AD9"/>
    <w:rsid w:val="00647C4D"/>
    <w:rsid w:val="00650D5D"/>
    <w:rsid w:val="00650F33"/>
    <w:rsid w:val="00651486"/>
    <w:rsid w:val="006515D7"/>
    <w:rsid w:val="00651A87"/>
    <w:rsid w:val="00651BC7"/>
    <w:rsid w:val="00651DCA"/>
    <w:rsid w:val="00651F5F"/>
    <w:rsid w:val="00652746"/>
    <w:rsid w:val="006527EB"/>
    <w:rsid w:val="006528D3"/>
    <w:rsid w:val="00652D54"/>
    <w:rsid w:val="00652FAD"/>
    <w:rsid w:val="00653152"/>
    <w:rsid w:val="006538A2"/>
    <w:rsid w:val="00653C22"/>
    <w:rsid w:val="00653C48"/>
    <w:rsid w:val="00653EC3"/>
    <w:rsid w:val="00654520"/>
    <w:rsid w:val="006548C6"/>
    <w:rsid w:val="00654CD8"/>
    <w:rsid w:val="00654DAC"/>
    <w:rsid w:val="00654E69"/>
    <w:rsid w:val="0065551D"/>
    <w:rsid w:val="0065586A"/>
    <w:rsid w:val="00655B3D"/>
    <w:rsid w:val="00655E26"/>
    <w:rsid w:val="00656230"/>
    <w:rsid w:val="00656458"/>
    <w:rsid w:val="00656686"/>
    <w:rsid w:val="00656AB5"/>
    <w:rsid w:val="00656B12"/>
    <w:rsid w:val="00656D97"/>
    <w:rsid w:val="00656E1A"/>
    <w:rsid w:val="00656F2E"/>
    <w:rsid w:val="00656F60"/>
    <w:rsid w:val="00657089"/>
    <w:rsid w:val="006573D0"/>
    <w:rsid w:val="00657A35"/>
    <w:rsid w:val="00660483"/>
    <w:rsid w:val="006605FB"/>
    <w:rsid w:val="00660D4A"/>
    <w:rsid w:val="00660DE8"/>
    <w:rsid w:val="006610D2"/>
    <w:rsid w:val="006612B4"/>
    <w:rsid w:val="0066145F"/>
    <w:rsid w:val="00662422"/>
    <w:rsid w:val="0066330D"/>
    <w:rsid w:val="006635AD"/>
    <w:rsid w:val="00663AF6"/>
    <w:rsid w:val="00663C14"/>
    <w:rsid w:val="00663DA8"/>
    <w:rsid w:val="00664299"/>
    <w:rsid w:val="00664414"/>
    <w:rsid w:val="00664523"/>
    <w:rsid w:val="00665046"/>
    <w:rsid w:val="006652AB"/>
    <w:rsid w:val="00665311"/>
    <w:rsid w:val="00665533"/>
    <w:rsid w:val="0066561D"/>
    <w:rsid w:val="0066643C"/>
    <w:rsid w:val="00666450"/>
    <w:rsid w:val="006666C5"/>
    <w:rsid w:val="006667C6"/>
    <w:rsid w:val="00667E62"/>
    <w:rsid w:val="0067005E"/>
    <w:rsid w:val="00670771"/>
    <w:rsid w:val="0067085B"/>
    <w:rsid w:val="00670C7B"/>
    <w:rsid w:val="00670D8A"/>
    <w:rsid w:val="006711D4"/>
    <w:rsid w:val="006711EA"/>
    <w:rsid w:val="0067124B"/>
    <w:rsid w:val="0067130E"/>
    <w:rsid w:val="00671715"/>
    <w:rsid w:val="00671823"/>
    <w:rsid w:val="00671A1D"/>
    <w:rsid w:val="0067228B"/>
    <w:rsid w:val="00672861"/>
    <w:rsid w:val="00673288"/>
    <w:rsid w:val="006733D4"/>
    <w:rsid w:val="006734B7"/>
    <w:rsid w:val="00673725"/>
    <w:rsid w:val="006738A0"/>
    <w:rsid w:val="00673B9D"/>
    <w:rsid w:val="00673FD3"/>
    <w:rsid w:val="00674339"/>
    <w:rsid w:val="006748FE"/>
    <w:rsid w:val="00674A25"/>
    <w:rsid w:val="00674D48"/>
    <w:rsid w:val="00674EEF"/>
    <w:rsid w:val="0067521A"/>
    <w:rsid w:val="00675451"/>
    <w:rsid w:val="0067596E"/>
    <w:rsid w:val="00675970"/>
    <w:rsid w:val="00675AFF"/>
    <w:rsid w:val="00677051"/>
    <w:rsid w:val="0067797A"/>
    <w:rsid w:val="006779DF"/>
    <w:rsid w:val="00677B24"/>
    <w:rsid w:val="00677E25"/>
    <w:rsid w:val="00677FF3"/>
    <w:rsid w:val="00680788"/>
    <w:rsid w:val="00680851"/>
    <w:rsid w:val="00680920"/>
    <w:rsid w:val="006809CE"/>
    <w:rsid w:val="00680AA6"/>
    <w:rsid w:val="00680E0A"/>
    <w:rsid w:val="0068104A"/>
    <w:rsid w:val="006819CA"/>
    <w:rsid w:val="00682640"/>
    <w:rsid w:val="0068282F"/>
    <w:rsid w:val="00682D31"/>
    <w:rsid w:val="006830B5"/>
    <w:rsid w:val="00683266"/>
    <w:rsid w:val="00683946"/>
    <w:rsid w:val="00683D88"/>
    <w:rsid w:val="006844DD"/>
    <w:rsid w:val="006845F1"/>
    <w:rsid w:val="00684816"/>
    <w:rsid w:val="0068493E"/>
    <w:rsid w:val="00684B7B"/>
    <w:rsid w:val="0068543C"/>
    <w:rsid w:val="0068566B"/>
    <w:rsid w:val="00685EBE"/>
    <w:rsid w:val="006860F6"/>
    <w:rsid w:val="00686141"/>
    <w:rsid w:val="0068619A"/>
    <w:rsid w:val="006861B9"/>
    <w:rsid w:val="006862B9"/>
    <w:rsid w:val="00686815"/>
    <w:rsid w:val="00686C20"/>
    <w:rsid w:val="00686CC5"/>
    <w:rsid w:val="00686F2D"/>
    <w:rsid w:val="0068723B"/>
    <w:rsid w:val="00687487"/>
    <w:rsid w:val="006874AB"/>
    <w:rsid w:val="006875AE"/>
    <w:rsid w:val="006877EF"/>
    <w:rsid w:val="00687823"/>
    <w:rsid w:val="00690097"/>
    <w:rsid w:val="006900CF"/>
    <w:rsid w:val="0069027B"/>
    <w:rsid w:val="00690335"/>
    <w:rsid w:val="0069070F"/>
    <w:rsid w:val="00690AD7"/>
    <w:rsid w:val="006914BF"/>
    <w:rsid w:val="00691535"/>
    <w:rsid w:val="00691562"/>
    <w:rsid w:val="00691B9D"/>
    <w:rsid w:val="00691CBD"/>
    <w:rsid w:val="00691D21"/>
    <w:rsid w:val="00691DBE"/>
    <w:rsid w:val="00692207"/>
    <w:rsid w:val="006922D5"/>
    <w:rsid w:val="00692543"/>
    <w:rsid w:val="00692659"/>
    <w:rsid w:val="00692BD8"/>
    <w:rsid w:val="00692CDF"/>
    <w:rsid w:val="00692DC4"/>
    <w:rsid w:val="0069318D"/>
    <w:rsid w:val="00693289"/>
    <w:rsid w:val="00693484"/>
    <w:rsid w:val="006934C3"/>
    <w:rsid w:val="00693B0E"/>
    <w:rsid w:val="00693D85"/>
    <w:rsid w:val="00693FEC"/>
    <w:rsid w:val="0069481A"/>
    <w:rsid w:val="0069484C"/>
    <w:rsid w:val="0069489A"/>
    <w:rsid w:val="006948B3"/>
    <w:rsid w:val="00694CA5"/>
    <w:rsid w:val="00694F73"/>
    <w:rsid w:val="006956A2"/>
    <w:rsid w:val="00695C22"/>
    <w:rsid w:val="00695DD5"/>
    <w:rsid w:val="0069638B"/>
    <w:rsid w:val="00696ED1"/>
    <w:rsid w:val="00697430"/>
    <w:rsid w:val="006978AC"/>
    <w:rsid w:val="00697B47"/>
    <w:rsid w:val="006A02E6"/>
    <w:rsid w:val="006A0B35"/>
    <w:rsid w:val="006A0FA4"/>
    <w:rsid w:val="006A1A4D"/>
    <w:rsid w:val="006A1ADA"/>
    <w:rsid w:val="006A1B76"/>
    <w:rsid w:val="006A1CDE"/>
    <w:rsid w:val="006A1DB0"/>
    <w:rsid w:val="006A2051"/>
    <w:rsid w:val="006A249E"/>
    <w:rsid w:val="006A28E8"/>
    <w:rsid w:val="006A2A44"/>
    <w:rsid w:val="006A2B80"/>
    <w:rsid w:val="006A2E33"/>
    <w:rsid w:val="006A2EA5"/>
    <w:rsid w:val="006A2EAF"/>
    <w:rsid w:val="006A2FAC"/>
    <w:rsid w:val="006A3A64"/>
    <w:rsid w:val="006A3A71"/>
    <w:rsid w:val="006A3FA1"/>
    <w:rsid w:val="006A4A4E"/>
    <w:rsid w:val="006A4F09"/>
    <w:rsid w:val="006A4FC2"/>
    <w:rsid w:val="006A51FE"/>
    <w:rsid w:val="006A551E"/>
    <w:rsid w:val="006A593E"/>
    <w:rsid w:val="006A5B42"/>
    <w:rsid w:val="006A5C4D"/>
    <w:rsid w:val="006A5C62"/>
    <w:rsid w:val="006A5FF4"/>
    <w:rsid w:val="006A6081"/>
    <w:rsid w:val="006A609D"/>
    <w:rsid w:val="006A652E"/>
    <w:rsid w:val="006A653A"/>
    <w:rsid w:val="006A6541"/>
    <w:rsid w:val="006A6606"/>
    <w:rsid w:val="006A68EB"/>
    <w:rsid w:val="006A68F2"/>
    <w:rsid w:val="006A6B7D"/>
    <w:rsid w:val="006A6C44"/>
    <w:rsid w:val="006A6CB0"/>
    <w:rsid w:val="006A6F17"/>
    <w:rsid w:val="006A75C8"/>
    <w:rsid w:val="006A77E1"/>
    <w:rsid w:val="006A79C8"/>
    <w:rsid w:val="006A7C1B"/>
    <w:rsid w:val="006A7CD7"/>
    <w:rsid w:val="006A7FA7"/>
    <w:rsid w:val="006B0014"/>
    <w:rsid w:val="006B0120"/>
    <w:rsid w:val="006B0238"/>
    <w:rsid w:val="006B0376"/>
    <w:rsid w:val="006B0D81"/>
    <w:rsid w:val="006B0DA2"/>
    <w:rsid w:val="006B17D5"/>
    <w:rsid w:val="006B1D15"/>
    <w:rsid w:val="006B1EED"/>
    <w:rsid w:val="006B2945"/>
    <w:rsid w:val="006B2DFF"/>
    <w:rsid w:val="006B3845"/>
    <w:rsid w:val="006B3BD6"/>
    <w:rsid w:val="006B3D9E"/>
    <w:rsid w:val="006B410E"/>
    <w:rsid w:val="006B44AB"/>
    <w:rsid w:val="006B4709"/>
    <w:rsid w:val="006B477D"/>
    <w:rsid w:val="006B4D83"/>
    <w:rsid w:val="006B5194"/>
    <w:rsid w:val="006B52B9"/>
    <w:rsid w:val="006B5424"/>
    <w:rsid w:val="006B564D"/>
    <w:rsid w:val="006B5AB9"/>
    <w:rsid w:val="006B5B26"/>
    <w:rsid w:val="006B604B"/>
    <w:rsid w:val="006B6140"/>
    <w:rsid w:val="006B6272"/>
    <w:rsid w:val="006B6A9D"/>
    <w:rsid w:val="006B6BC7"/>
    <w:rsid w:val="006B6DCE"/>
    <w:rsid w:val="006B7072"/>
    <w:rsid w:val="006B74BE"/>
    <w:rsid w:val="006B774F"/>
    <w:rsid w:val="006B78F1"/>
    <w:rsid w:val="006B79DB"/>
    <w:rsid w:val="006B7B35"/>
    <w:rsid w:val="006B7B93"/>
    <w:rsid w:val="006B7D02"/>
    <w:rsid w:val="006B7E16"/>
    <w:rsid w:val="006C01BE"/>
    <w:rsid w:val="006C0828"/>
    <w:rsid w:val="006C1092"/>
    <w:rsid w:val="006C117C"/>
    <w:rsid w:val="006C12CF"/>
    <w:rsid w:val="006C15CC"/>
    <w:rsid w:val="006C17A5"/>
    <w:rsid w:val="006C1823"/>
    <w:rsid w:val="006C1931"/>
    <w:rsid w:val="006C1B55"/>
    <w:rsid w:val="006C1BC1"/>
    <w:rsid w:val="006C1C4A"/>
    <w:rsid w:val="006C1C81"/>
    <w:rsid w:val="006C1CC3"/>
    <w:rsid w:val="006C27AB"/>
    <w:rsid w:val="006C2879"/>
    <w:rsid w:val="006C28A3"/>
    <w:rsid w:val="006C28D3"/>
    <w:rsid w:val="006C2A9F"/>
    <w:rsid w:val="006C4387"/>
    <w:rsid w:val="006C4789"/>
    <w:rsid w:val="006C4BA9"/>
    <w:rsid w:val="006C4C85"/>
    <w:rsid w:val="006C5114"/>
    <w:rsid w:val="006C524E"/>
    <w:rsid w:val="006C5304"/>
    <w:rsid w:val="006C55A0"/>
    <w:rsid w:val="006C589D"/>
    <w:rsid w:val="006C609B"/>
    <w:rsid w:val="006C6247"/>
    <w:rsid w:val="006C66B8"/>
    <w:rsid w:val="006C6722"/>
    <w:rsid w:val="006C6AA5"/>
    <w:rsid w:val="006C6B26"/>
    <w:rsid w:val="006C7333"/>
    <w:rsid w:val="006C758C"/>
    <w:rsid w:val="006C764C"/>
    <w:rsid w:val="006C77CE"/>
    <w:rsid w:val="006C797C"/>
    <w:rsid w:val="006C7AE0"/>
    <w:rsid w:val="006C7B62"/>
    <w:rsid w:val="006C7BFE"/>
    <w:rsid w:val="006D0113"/>
    <w:rsid w:val="006D018B"/>
    <w:rsid w:val="006D02CD"/>
    <w:rsid w:val="006D0831"/>
    <w:rsid w:val="006D08F2"/>
    <w:rsid w:val="006D0B68"/>
    <w:rsid w:val="006D0E12"/>
    <w:rsid w:val="006D0FC5"/>
    <w:rsid w:val="006D1129"/>
    <w:rsid w:val="006D12DD"/>
    <w:rsid w:val="006D156E"/>
    <w:rsid w:val="006D162F"/>
    <w:rsid w:val="006D167A"/>
    <w:rsid w:val="006D1805"/>
    <w:rsid w:val="006D1A74"/>
    <w:rsid w:val="006D1D60"/>
    <w:rsid w:val="006D1EBF"/>
    <w:rsid w:val="006D2254"/>
    <w:rsid w:val="006D2772"/>
    <w:rsid w:val="006D27F5"/>
    <w:rsid w:val="006D2A09"/>
    <w:rsid w:val="006D2A12"/>
    <w:rsid w:val="006D3012"/>
    <w:rsid w:val="006D3135"/>
    <w:rsid w:val="006D3223"/>
    <w:rsid w:val="006D347C"/>
    <w:rsid w:val="006D39FB"/>
    <w:rsid w:val="006D3B6E"/>
    <w:rsid w:val="006D3BD5"/>
    <w:rsid w:val="006D3FE7"/>
    <w:rsid w:val="006D41BE"/>
    <w:rsid w:val="006D4328"/>
    <w:rsid w:val="006D47BA"/>
    <w:rsid w:val="006D4C32"/>
    <w:rsid w:val="006D542E"/>
    <w:rsid w:val="006D55F8"/>
    <w:rsid w:val="006D56E2"/>
    <w:rsid w:val="006D60FF"/>
    <w:rsid w:val="006D6138"/>
    <w:rsid w:val="006D6544"/>
    <w:rsid w:val="006D663B"/>
    <w:rsid w:val="006D686A"/>
    <w:rsid w:val="006D6A79"/>
    <w:rsid w:val="006D6AE3"/>
    <w:rsid w:val="006D7B0E"/>
    <w:rsid w:val="006D7D03"/>
    <w:rsid w:val="006E0149"/>
    <w:rsid w:val="006E023F"/>
    <w:rsid w:val="006E047E"/>
    <w:rsid w:val="006E04E3"/>
    <w:rsid w:val="006E07E0"/>
    <w:rsid w:val="006E099C"/>
    <w:rsid w:val="006E0B0B"/>
    <w:rsid w:val="006E0D3C"/>
    <w:rsid w:val="006E0E17"/>
    <w:rsid w:val="006E0F6C"/>
    <w:rsid w:val="006E15FE"/>
    <w:rsid w:val="006E17D8"/>
    <w:rsid w:val="006E1900"/>
    <w:rsid w:val="006E1985"/>
    <w:rsid w:val="006E1A5F"/>
    <w:rsid w:val="006E1AD5"/>
    <w:rsid w:val="006E1BFE"/>
    <w:rsid w:val="006E1DDD"/>
    <w:rsid w:val="006E1E92"/>
    <w:rsid w:val="006E1FDE"/>
    <w:rsid w:val="006E294C"/>
    <w:rsid w:val="006E2F74"/>
    <w:rsid w:val="006E385B"/>
    <w:rsid w:val="006E3FE9"/>
    <w:rsid w:val="006E44F3"/>
    <w:rsid w:val="006E46DA"/>
    <w:rsid w:val="006E48D0"/>
    <w:rsid w:val="006E4BB1"/>
    <w:rsid w:val="006E5794"/>
    <w:rsid w:val="006E59F9"/>
    <w:rsid w:val="006E5E41"/>
    <w:rsid w:val="006E6276"/>
    <w:rsid w:val="006E6441"/>
    <w:rsid w:val="006E6470"/>
    <w:rsid w:val="006E6482"/>
    <w:rsid w:val="006E7D84"/>
    <w:rsid w:val="006E7F35"/>
    <w:rsid w:val="006F0044"/>
    <w:rsid w:val="006F0202"/>
    <w:rsid w:val="006F0486"/>
    <w:rsid w:val="006F0A33"/>
    <w:rsid w:val="006F0AB6"/>
    <w:rsid w:val="006F0AF8"/>
    <w:rsid w:val="006F0FC4"/>
    <w:rsid w:val="006F1873"/>
    <w:rsid w:val="006F1C86"/>
    <w:rsid w:val="006F2291"/>
    <w:rsid w:val="006F249C"/>
    <w:rsid w:val="006F2BDD"/>
    <w:rsid w:val="006F2F47"/>
    <w:rsid w:val="006F30EA"/>
    <w:rsid w:val="006F316F"/>
    <w:rsid w:val="006F3247"/>
    <w:rsid w:val="006F330F"/>
    <w:rsid w:val="006F39E2"/>
    <w:rsid w:val="006F3B86"/>
    <w:rsid w:val="006F40BB"/>
    <w:rsid w:val="006F43D7"/>
    <w:rsid w:val="006F44EB"/>
    <w:rsid w:val="006F48E8"/>
    <w:rsid w:val="006F49F8"/>
    <w:rsid w:val="006F4B51"/>
    <w:rsid w:val="006F4B73"/>
    <w:rsid w:val="006F4E20"/>
    <w:rsid w:val="006F5259"/>
    <w:rsid w:val="006F5558"/>
    <w:rsid w:val="006F5C06"/>
    <w:rsid w:val="006F5C3C"/>
    <w:rsid w:val="006F6692"/>
    <w:rsid w:val="006F66C4"/>
    <w:rsid w:val="006F7110"/>
    <w:rsid w:val="006F75F6"/>
    <w:rsid w:val="006F771C"/>
    <w:rsid w:val="006F7783"/>
    <w:rsid w:val="006F7C61"/>
    <w:rsid w:val="006F7E83"/>
    <w:rsid w:val="00700B64"/>
    <w:rsid w:val="00700BD2"/>
    <w:rsid w:val="00700CEC"/>
    <w:rsid w:val="00700CF5"/>
    <w:rsid w:val="00701770"/>
    <w:rsid w:val="00701DEF"/>
    <w:rsid w:val="00701F32"/>
    <w:rsid w:val="00702365"/>
    <w:rsid w:val="00703085"/>
    <w:rsid w:val="0070337C"/>
    <w:rsid w:val="007039A7"/>
    <w:rsid w:val="00704063"/>
    <w:rsid w:val="00704578"/>
    <w:rsid w:val="007045C5"/>
    <w:rsid w:val="0070467C"/>
    <w:rsid w:val="007046E4"/>
    <w:rsid w:val="00704733"/>
    <w:rsid w:val="007048DC"/>
    <w:rsid w:val="00704A11"/>
    <w:rsid w:val="00704DB2"/>
    <w:rsid w:val="00704DC6"/>
    <w:rsid w:val="00705079"/>
    <w:rsid w:val="007055F0"/>
    <w:rsid w:val="00705752"/>
    <w:rsid w:val="00705D20"/>
    <w:rsid w:val="00705DB8"/>
    <w:rsid w:val="00705E8A"/>
    <w:rsid w:val="007067A2"/>
    <w:rsid w:val="00706D85"/>
    <w:rsid w:val="00707089"/>
    <w:rsid w:val="00707602"/>
    <w:rsid w:val="00707B1E"/>
    <w:rsid w:val="00707DE7"/>
    <w:rsid w:val="007101D5"/>
    <w:rsid w:val="0071052C"/>
    <w:rsid w:val="00710613"/>
    <w:rsid w:val="00710774"/>
    <w:rsid w:val="00710854"/>
    <w:rsid w:val="0071094D"/>
    <w:rsid w:val="00710BA0"/>
    <w:rsid w:val="00711301"/>
    <w:rsid w:val="00711696"/>
    <w:rsid w:val="00711B01"/>
    <w:rsid w:val="00711C0D"/>
    <w:rsid w:val="007127EC"/>
    <w:rsid w:val="00712EFB"/>
    <w:rsid w:val="00713053"/>
    <w:rsid w:val="007133DD"/>
    <w:rsid w:val="00713585"/>
    <w:rsid w:val="007136C6"/>
    <w:rsid w:val="00713904"/>
    <w:rsid w:val="00713E55"/>
    <w:rsid w:val="0071409E"/>
    <w:rsid w:val="007147D1"/>
    <w:rsid w:val="00714A89"/>
    <w:rsid w:val="00714B0F"/>
    <w:rsid w:val="00714D32"/>
    <w:rsid w:val="00714D46"/>
    <w:rsid w:val="00714EBA"/>
    <w:rsid w:val="00715439"/>
    <w:rsid w:val="00715516"/>
    <w:rsid w:val="00715BD4"/>
    <w:rsid w:val="00715D5F"/>
    <w:rsid w:val="0071668D"/>
    <w:rsid w:val="00716E02"/>
    <w:rsid w:val="007170ED"/>
    <w:rsid w:val="007174F3"/>
    <w:rsid w:val="0071771B"/>
    <w:rsid w:val="007179A2"/>
    <w:rsid w:val="007179D4"/>
    <w:rsid w:val="00717DA4"/>
    <w:rsid w:val="00720721"/>
    <w:rsid w:val="007207FE"/>
    <w:rsid w:val="00720CF6"/>
    <w:rsid w:val="00721009"/>
    <w:rsid w:val="007210C4"/>
    <w:rsid w:val="007216D3"/>
    <w:rsid w:val="00721CB1"/>
    <w:rsid w:val="00721E99"/>
    <w:rsid w:val="007220E7"/>
    <w:rsid w:val="007223D2"/>
    <w:rsid w:val="00722432"/>
    <w:rsid w:val="007224EC"/>
    <w:rsid w:val="007225C6"/>
    <w:rsid w:val="00722B67"/>
    <w:rsid w:val="00722C3C"/>
    <w:rsid w:val="00723240"/>
    <w:rsid w:val="0072347E"/>
    <w:rsid w:val="00723A2B"/>
    <w:rsid w:val="00723BDB"/>
    <w:rsid w:val="00723E82"/>
    <w:rsid w:val="00723FF1"/>
    <w:rsid w:val="007240B4"/>
    <w:rsid w:val="007240C4"/>
    <w:rsid w:val="00724345"/>
    <w:rsid w:val="00724415"/>
    <w:rsid w:val="00724473"/>
    <w:rsid w:val="00724629"/>
    <w:rsid w:val="00724B88"/>
    <w:rsid w:val="00724DDE"/>
    <w:rsid w:val="00725124"/>
    <w:rsid w:val="00725CBB"/>
    <w:rsid w:val="00726143"/>
    <w:rsid w:val="0072617C"/>
    <w:rsid w:val="00726D67"/>
    <w:rsid w:val="00726D8A"/>
    <w:rsid w:val="00726DD2"/>
    <w:rsid w:val="0072711F"/>
    <w:rsid w:val="007273DA"/>
    <w:rsid w:val="007302FD"/>
    <w:rsid w:val="007304CC"/>
    <w:rsid w:val="00730917"/>
    <w:rsid w:val="00730AFB"/>
    <w:rsid w:val="00730EAC"/>
    <w:rsid w:val="00731AA2"/>
    <w:rsid w:val="00731C53"/>
    <w:rsid w:val="00731E5B"/>
    <w:rsid w:val="00732715"/>
    <w:rsid w:val="00732893"/>
    <w:rsid w:val="00732A65"/>
    <w:rsid w:val="00732B58"/>
    <w:rsid w:val="00732E51"/>
    <w:rsid w:val="00732E83"/>
    <w:rsid w:val="00733600"/>
    <w:rsid w:val="00733A4A"/>
    <w:rsid w:val="0073481E"/>
    <w:rsid w:val="0073492B"/>
    <w:rsid w:val="00734A00"/>
    <w:rsid w:val="00734CED"/>
    <w:rsid w:val="00735528"/>
    <w:rsid w:val="007358E3"/>
    <w:rsid w:val="007358FF"/>
    <w:rsid w:val="00735A4B"/>
    <w:rsid w:val="00735AC2"/>
    <w:rsid w:val="00735E6C"/>
    <w:rsid w:val="00735EAC"/>
    <w:rsid w:val="0073646D"/>
    <w:rsid w:val="00736B1C"/>
    <w:rsid w:val="00736FFB"/>
    <w:rsid w:val="0073725C"/>
    <w:rsid w:val="007375E6"/>
    <w:rsid w:val="00737722"/>
    <w:rsid w:val="00737FC6"/>
    <w:rsid w:val="007400C6"/>
    <w:rsid w:val="00740756"/>
    <w:rsid w:val="00740971"/>
    <w:rsid w:val="00740998"/>
    <w:rsid w:val="00740ACF"/>
    <w:rsid w:val="00740F32"/>
    <w:rsid w:val="0074152C"/>
    <w:rsid w:val="00741BCC"/>
    <w:rsid w:val="00742842"/>
    <w:rsid w:val="00742CF6"/>
    <w:rsid w:val="007430C9"/>
    <w:rsid w:val="007432E3"/>
    <w:rsid w:val="00743703"/>
    <w:rsid w:val="00743749"/>
    <w:rsid w:val="007439E8"/>
    <w:rsid w:val="00743A83"/>
    <w:rsid w:val="007440BA"/>
    <w:rsid w:val="007441B5"/>
    <w:rsid w:val="007444B2"/>
    <w:rsid w:val="00744D59"/>
    <w:rsid w:val="00744EE4"/>
    <w:rsid w:val="00745140"/>
    <w:rsid w:val="0074592D"/>
    <w:rsid w:val="007462D7"/>
    <w:rsid w:val="007466AA"/>
    <w:rsid w:val="00746821"/>
    <w:rsid w:val="007468C5"/>
    <w:rsid w:val="00746CB2"/>
    <w:rsid w:val="00746F89"/>
    <w:rsid w:val="00747108"/>
    <w:rsid w:val="0074713E"/>
    <w:rsid w:val="0074733D"/>
    <w:rsid w:val="00747359"/>
    <w:rsid w:val="007475B7"/>
    <w:rsid w:val="007479C6"/>
    <w:rsid w:val="007479F5"/>
    <w:rsid w:val="00747E8C"/>
    <w:rsid w:val="00747F07"/>
    <w:rsid w:val="0075066E"/>
    <w:rsid w:val="00750828"/>
    <w:rsid w:val="007509C9"/>
    <w:rsid w:val="00750B3E"/>
    <w:rsid w:val="00750D5C"/>
    <w:rsid w:val="00750F64"/>
    <w:rsid w:val="0075138E"/>
    <w:rsid w:val="0075155C"/>
    <w:rsid w:val="007517B0"/>
    <w:rsid w:val="00751D24"/>
    <w:rsid w:val="00751EB3"/>
    <w:rsid w:val="00751FFA"/>
    <w:rsid w:val="007520DB"/>
    <w:rsid w:val="0075214F"/>
    <w:rsid w:val="007525AC"/>
    <w:rsid w:val="00752A59"/>
    <w:rsid w:val="00752B29"/>
    <w:rsid w:val="007532F1"/>
    <w:rsid w:val="007537CD"/>
    <w:rsid w:val="007538A6"/>
    <w:rsid w:val="00753AB7"/>
    <w:rsid w:val="00753B16"/>
    <w:rsid w:val="00753C48"/>
    <w:rsid w:val="0075437A"/>
    <w:rsid w:val="00754546"/>
    <w:rsid w:val="00754814"/>
    <w:rsid w:val="007549E9"/>
    <w:rsid w:val="00754AAA"/>
    <w:rsid w:val="00754F7B"/>
    <w:rsid w:val="0075500F"/>
    <w:rsid w:val="0075550E"/>
    <w:rsid w:val="007555A4"/>
    <w:rsid w:val="007555C0"/>
    <w:rsid w:val="007555CE"/>
    <w:rsid w:val="00755BF4"/>
    <w:rsid w:val="007562EF"/>
    <w:rsid w:val="0075658E"/>
    <w:rsid w:val="0075660C"/>
    <w:rsid w:val="007568AC"/>
    <w:rsid w:val="00756B8F"/>
    <w:rsid w:val="00756E89"/>
    <w:rsid w:val="007576E0"/>
    <w:rsid w:val="00757C84"/>
    <w:rsid w:val="007601F3"/>
    <w:rsid w:val="007607DD"/>
    <w:rsid w:val="00761501"/>
    <w:rsid w:val="00761792"/>
    <w:rsid w:val="00761A94"/>
    <w:rsid w:val="007621C7"/>
    <w:rsid w:val="00762ACB"/>
    <w:rsid w:val="00762E7C"/>
    <w:rsid w:val="00763C2A"/>
    <w:rsid w:val="00763E98"/>
    <w:rsid w:val="00763E9B"/>
    <w:rsid w:val="007640F0"/>
    <w:rsid w:val="007643B7"/>
    <w:rsid w:val="00764474"/>
    <w:rsid w:val="0076492C"/>
    <w:rsid w:val="00764944"/>
    <w:rsid w:val="00764D5A"/>
    <w:rsid w:val="00764F20"/>
    <w:rsid w:val="00764F69"/>
    <w:rsid w:val="00765198"/>
    <w:rsid w:val="007651A6"/>
    <w:rsid w:val="007653A4"/>
    <w:rsid w:val="007654A5"/>
    <w:rsid w:val="007654F4"/>
    <w:rsid w:val="0076566B"/>
    <w:rsid w:val="007656BF"/>
    <w:rsid w:val="007657FF"/>
    <w:rsid w:val="00765831"/>
    <w:rsid w:val="007658BE"/>
    <w:rsid w:val="00765B5E"/>
    <w:rsid w:val="00765CFE"/>
    <w:rsid w:val="00765D01"/>
    <w:rsid w:val="00765FE3"/>
    <w:rsid w:val="00766004"/>
    <w:rsid w:val="007663BF"/>
    <w:rsid w:val="007665CE"/>
    <w:rsid w:val="0076718F"/>
    <w:rsid w:val="00767478"/>
    <w:rsid w:val="00767AE5"/>
    <w:rsid w:val="00767AF9"/>
    <w:rsid w:val="00767B3B"/>
    <w:rsid w:val="00770077"/>
    <w:rsid w:val="00770170"/>
    <w:rsid w:val="0077090C"/>
    <w:rsid w:val="00770981"/>
    <w:rsid w:val="0077102C"/>
    <w:rsid w:val="00771ABD"/>
    <w:rsid w:val="00771D60"/>
    <w:rsid w:val="00771F3B"/>
    <w:rsid w:val="0077208E"/>
    <w:rsid w:val="007721D1"/>
    <w:rsid w:val="0077223E"/>
    <w:rsid w:val="00772498"/>
    <w:rsid w:val="00772511"/>
    <w:rsid w:val="007726A1"/>
    <w:rsid w:val="0077287A"/>
    <w:rsid w:val="007730D9"/>
    <w:rsid w:val="0077348E"/>
    <w:rsid w:val="00773763"/>
    <w:rsid w:val="00773A32"/>
    <w:rsid w:val="00773B54"/>
    <w:rsid w:val="00773C16"/>
    <w:rsid w:val="0077460C"/>
    <w:rsid w:val="0077479D"/>
    <w:rsid w:val="00774BD6"/>
    <w:rsid w:val="00774FFF"/>
    <w:rsid w:val="0077514F"/>
    <w:rsid w:val="00775272"/>
    <w:rsid w:val="0077533E"/>
    <w:rsid w:val="00775452"/>
    <w:rsid w:val="0077557E"/>
    <w:rsid w:val="00775888"/>
    <w:rsid w:val="00775AD7"/>
    <w:rsid w:val="00775B66"/>
    <w:rsid w:val="00775C02"/>
    <w:rsid w:val="00775DAC"/>
    <w:rsid w:val="00776824"/>
    <w:rsid w:val="00776885"/>
    <w:rsid w:val="00776CFD"/>
    <w:rsid w:val="00776D4A"/>
    <w:rsid w:val="00776D92"/>
    <w:rsid w:val="00777407"/>
    <w:rsid w:val="00777BF8"/>
    <w:rsid w:val="00780195"/>
    <w:rsid w:val="00780465"/>
    <w:rsid w:val="00780522"/>
    <w:rsid w:val="00780563"/>
    <w:rsid w:val="00780566"/>
    <w:rsid w:val="00780642"/>
    <w:rsid w:val="0078091F"/>
    <w:rsid w:val="00780B92"/>
    <w:rsid w:val="00780E9F"/>
    <w:rsid w:val="00781021"/>
    <w:rsid w:val="007810D0"/>
    <w:rsid w:val="0078167A"/>
    <w:rsid w:val="007816A5"/>
    <w:rsid w:val="00781C5A"/>
    <w:rsid w:val="00781DAE"/>
    <w:rsid w:val="007821B3"/>
    <w:rsid w:val="00782824"/>
    <w:rsid w:val="00782BFF"/>
    <w:rsid w:val="00783439"/>
    <w:rsid w:val="007834B6"/>
    <w:rsid w:val="00783907"/>
    <w:rsid w:val="00783DBA"/>
    <w:rsid w:val="007843B9"/>
    <w:rsid w:val="00784A79"/>
    <w:rsid w:val="00784EFD"/>
    <w:rsid w:val="0078513C"/>
    <w:rsid w:val="00785803"/>
    <w:rsid w:val="00785D80"/>
    <w:rsid w:val="00785DA1"/>
    <w:rsid w:val="007863D7"/>
    <w:rsid w:val="00786B3E"/>
    <w:rsid w:val="00786C63"/>
    <w:rsid w:val="00786D5B"/>
    <w:rsid w:val="00786E64"/>
    <w:rsid w:val="007871E4"/>
    <w:rsid w:val="00787BA6"/>
    <w:rsid w:val="007901F1"/>
    <w:rsid w:val="0079064F"/>
    <w:rsid w:val="0079090A"/>
    <w:rsid w:val="007910E3"/>
    <w:rsid w:val="00791CCB"/>
    <w:rsid w:val="00792202"/>
    <w:rsid w:val="007924CB"/>
    <w:rsid w:val="0079269F"/>
    <w:rsid w:val="0079271F"/>
    <w:rsid w:val="007929B3"/>
    <w:rsid w:val="007929FD"/>
    <w:rsid w:val="00792ACF"/>
    <w:rsid w:val="00792AD5"/>
    <w:rsid w:val="00792C9D"/>
    <w:rsid w:val="007931CB"/>
    <w:rsid w:val="00793328"/>
    <w:rsid w:val="007934A3"/>
    <w:rsid w:val="007934D9"/>
    <w:rsid w:val="00794036"/>
    <w:rsid w:val="00795358"/>
    <w:rsid w:val="007967D1"/>
    <w:rsid w:val="00796968"/>
    <w:rsid w:val="00796A12"/>
    <w:rsid w:val="00796CB9"/>
    <w:rsid w:val="007970D4"/>
    <w:rsid w:val="00797371"/>
    <w:rsid w:val="00797ED0"/>
    <w:rsid w:val="00797ED8"/>
    <w:rsid w:val="00797F90"/>
    <w:rsid w:val="007A0054"/>
    <w:rsid w:val="007A09E5"/>
    <w:rsid w:val="007A0AEC"/>
    <w:rsid w:val="007A1E43"/>
    <w:rsid w:val="007A1EB0"/>
    <w:rsid w:val="007A2807"/>
    <w:rsid w:val="007A2A67"/>
    <w:rsid w:val="007A2AE9"/>
    <w:rsid w:val="007A2B4A"/>
    <w:rsid w:val="007A30AB"/>
    <w:rsid w:val="007A3923"/>
    <w:rsid w:val="007A3A49"/>
    <w:rsid w:val="007A4130"/>
    <w:rsid w:val="007A43A8"/>
    <w:rsid w:val="007A4E3D"/>
    <w:rsid w:val="007A54EB"/>
    <w:rsid w:val="007A57BD"/>
    <w:rsid w:val="007A663D"/>
    <w:rsid w:val="007A6750"/>
    <w:rsid w:val="007A6914"/>
    <w:rsid w:val="007A6CED"/>
    <w:rsid w:val="007A72EF"/>
    <w:rsid w:val="007A7A40"/>
    <w:rsid w:val="007A7BF6"/>
    <w:rsid w:val="007A7E26"/>
    <w:rsid w:val="007B022D"/>
    <w:rsid w:val="007B0A22"/>
    <w:rsid w:val="007B0B0F"/>
    <w:rsid w:val="007B0CF6"/>
    <w:rsid w:val="007B1784"/>
    <w:rsid w:val="007B192B"/>
    <w:rsid w:val="007B1BD0"/>
    <w:rsid w:val="007B1D01"/>
    <w:rsid w:val="007B2268"/>
    <w:rsid w:val="007B27D8"/>
    <w:rsid w:val="007B2979"/>
    <w:rsid w:val="007B356A"/>
    <w:rsid w:val="007B38DB"/>
    <w:rsid w:val="007B39EA"/>
    <w:rsid w:val="007B3A58"/>
    <w:rsid w:val="007B3C9F"/>
    <w:rsid w:val="007B40E1"/>
    <w:rsid w:val="007B41F3"/>
    <w:rsid w:val="007B4CD2"/>
    <w:rsid w:val="007B4D27"/>
    <w:rsid w:val="007B559C"/>
    <w:rsid w:val="007B5635"/>
    <w:rsid w:val="007B5795"/>
    <w:rsid w:val="007B57D6"/>
    <w:rsid w:val="007B588F"/>
    <w:rsid w:val="007B5AC7"/>
    <w:rsid w:val="007B5AD8"/>
    <w:rsid w:val="007B5B57"/>
    <w:rsid w:val="007B5BEE"/>
    <w:rsid w:val="007B5F57"/>
    <w:rsid w:val="007B5F97"/>
    <w:rsid w:val="007B6269"/>
    <w:rsid w:val="007B68D0"/>
    <w:rsid w:val="007B6D2A"/>
    <w:rsid w:val="007B7CE2"/>
    <w:rsid w:val="007C00F2"/>
    <w:rsid w:val="007C0DAF"/>
    <w:rsid w:val="007C10DE"/>
    <w:rsid w:val="007C1548"/>
    <w:rsid w:val="007C1808"/>
    <w:rsid w:val="007C1A50"/>
    <w:rsid w:val="007C2666"/>
    <w:rsid w:val="007C2A1A"/>
    <w:rsid w:val="007C31BB"/>
    <w:rsid w:val="007C355A"/>
    <w:rsid w:val="007C3683"/>
    <w:rsid w:val="007C396A"/>
    <w:rsid w:val="007C3B7B"/>
    <w:rsid w:val="007C3C85"/>
    <w:rsid w:val="007C3E77"/>
    <w:rsid w:val="007C3E8D"/>
    <w:rsid w:val="007C41A4"/>
    <w:rsid w:val="007C4464"/>
    <w:rsid w:val="007C453F"/>
    <w:rsid w:val="007C4F06"/>
    <w:rsid w:val="007C504B"/>
    <w:rsid w:val="007C50EF"/>
    <w:rsid w:val="007C61D0"/>
    <w:rsid w:val="007C6224"/>
    <w:rsid w:val="007C62CB"/>
    <w:rsid w:val="007C6B9B"/>
    <w:rsid w:val="007C6C06"/>
    <w:rsid w:val="007C737F"/>
    <w:rsid w:val="007C79BF"/>
    <w:rsid w:val="007D0272"/>
    <w:rsid w:val="007D08C9"/>
    <w:rsid w:val="007D101F"/>
    <w:rsid w:val="007D164F"/>
    <w:rsid w:val="007D1B53"/>
    <w:rsid w:val="007D1C46"/>
    <w:rsid w:val="007D23C7"/>
    <w:rsid w:val="007D2773"/>
    <w:rsid w:val="007D27AF"/>
    <w:rsid w:val="007D2D30"/>
    <w:rsid w:val="007D3339"/>
    <w:rsid w:val="007D3601"/>
    <w:rsid w:val="007D36A9"/>
    <w:rsid w:val="007D3BE8"/>
    <w:rsid w:val="007D4167"/>
    <w:rsid w:val="007D48D2"/>
    <w:rsid w:val="007D5336"/>
    <w:rsid w:val="007D5579"/>
    <w:rsid w:val="007D5680"/>
    <w:rsid w:val="007D56D1"/>
    <w:rsid w:val="007D57D8"/>
    <w:rsid w:val="007D57E4"/>
    <w:rsid w:val="007D5B45"/>
    <w:rsid w:val="007D6283"/>
    <w:rsid w:val="007D679D"/>
    <w:rsid w:val="007D6BFD"/>
    <w:rsid w:val="007D7318"/>
    <w:rsid w:val="007D74FF"/>
    <w:rsid w:val="007D753B"/>
    <w:rsid w:val="007D7B41"/>
    <w:rsid w:val="007D7E00"/>
    <w:rsid w:val="007D7E95"/>
    <w:rsid w:val="007E0521"/>
    <w:rsid w:val="007E1421"/>
    <w:rsid w:val="007E1BE4"/>
    <w:rsid w:val="007E1D0F"/>
    <w:rsid w:val="007E1D5C"/>
    <w:rsid w:val="007E22E9"/>
    <w:rsid w:val="007E2518"/>
    <w:rsid w:val="007E257E"/>
    <w:rsid w:val="007E2C2F"/>
    <w:rsid w:val="007E2E4B"/>
    <w:rsid w:val="007E3574"/>
    <w:rsid w:val="007E3AFB"/>
    <w:rsid w:val="007E41C8"/>
    <w:rsid w:val="007E4525"/>
    <w:rsid w:val="007E45CA"/>
    <w:rsid w:val="007E45CF"/>
    <w:rsid w:val="007E4809"/>
    <w:rsid w:val="007E4913"/>
    <w:rsid w:val="007E4F3F"/>
    <w:rsid w:val="007E50F9"/>
    <w:rsid w:val="007E51C8"/>
    <w:rsid w:val="007E5217"/>
    <w:rsid w:val="007E5440"/>
    <w:rsid w:val="007E54FE"/>
    <w:rsid w:val="007E557C"/>
    <w:rsid w:val="007E5B2A"/>
    <w:rsid w:val="007E5E17"/>
    <w:rsid w:val="007E5EA2"/>
    <w:rsid w:val="007E5F5E"/>
    <w:rsid w:val="007E61E6"/>
    <w:rsid w:val="007E6D6F"/>
    <w:rsid w:val="007E70C0"/>
    <w:rsid w:val="007E76C0"/>
    <w:rsid w:val="007E79DC"/>
    <w:rsid w:val="007E7D32"/>
    <w:rsid w:val="007F0456"/>
    <w:rsid w:val="007F0466"/>
    <w:rsid w:val="007F0481"/>
    <w:rsid w:val="007F0C10"/>
    <w:rsid w:val="007F0DD0"/>
    <w:rsid w:val="007F1292"/>
    <w:rsid w:val="007F1D3E"/>
    <w:rsid w:val="007F1DB6"/>
    <w:rsid w:val="007F1F83"/>
    <w:rsid w:val="007F2275"/>
    <w:rsid w:val="007F22AA"/>
    <w:rsid w:val="007F2CAF"/>
    <w:rsid w:val="007F2F53"/>
    <w:rsid w:val="007F2F84"/>
    <w:rsid w:val="007F3532"/>
    <w:rsid w:val="007F3586"/>
    <w:rsid w:val="007F37E3"/>
    <w:rsid w:val="007F3B68"/>
    <w:rsid w:val="007F4A36"/>
    <w:rsid w:val="007F4F05"/>
    <w:rsid w:val="007F5152"/>
    <w:rsid w:val="007F538D"/>
    <w:rsid w:val="007F5A05"/>
    <w:rsid w:val="007F5F2A"/>
    <w:rsid w:val="007F5F30"/>
    <w:rsid w:val="007F62AE"/>
    <w:rsid w:val="007F64CB"/>
    <w:rsid w:val="007F6AEB"/>
    <w:rsid w:val="007F78EE"/>
    <w:rsid w:val="007F7CF2"/>
    <w:rsid w:val="00800321"/>
    <w:rsid w:val="00800D34"/>
    <w:rsid w:val="00800FAF"/>
    <w:rsid w:val="00801149"/>
    <w:rsid w:val="008012A5"/>
    <w:rsid w:val="008013FF"/>
    <w:rsid w:val="00801413"/>
    <w:rsid w:val="00801BC3"/>
    <w:rsid w:val="00801F21"/>
    <w:rsid w:val="0080207A"/>
    <w:rsid w:val="00802622"/>
    <w:rsid w:val="008026B1"/>
    <w:rsid w:val="0080295C"/>
    <w:rsid w:val="00802BD3"/>
    <w:rsid w:val="00802BEF"/>
    <w:rsid w:val="00802C1F"/>
    <w:rsid w:val="008032DF"/>
    <w:rsid w:val="008035F4"/>
    <w:rsid w:val="0080394E"/>
    <w:rsid w:val="00803DE5"/>
    <w:rsid w:val="00803E87"/>
    <w:rsid w:val="00803F8E"/>
    <w:rsid w:val="0080411A"/>
    <w:rsid w:val="00804352"/>
    <w:rsid w:val="008043DA"/>
    <w:rsid w:val="0080458A"/>
    <w:rsid w:val="008045EC"/>
    <w:rsid w:val="008048CE"/>
    <w:rsid w:val="00804911"/>
    <w:rsid w:val="00804ACD"/>
    <w:rsid w:val="00804CBC"/>
    <w:rsid w:val="00804E5E"/>
    <w:rsid w:val="008054B5"/>
    <w:rsid w:val="00805832"/>
    <w:rsid w:val="00805915"/>
    <w:rsid w:val="0080643A"/>
    <w:rsid w:val="008064A2"/>
    <w:rsid w:val="00806BCF"/>
    <w:rsid w:val="00806C81"/>
    <w:rsid w:val="00807201"/>
    <w:rsid w:val="008073CF"/>
    <w:rsid w:val="00807644"/>
    <w:rsid w:val="008109E5"/>
    <w:rsid w:val="00810C37"/>
    <w:rsid w:val="00810F5A"/>
    <w:rsid w:val="00811293"/>
    <w:rsid w:val="00811C04"/>
    <w:rsid w:val="00811DF3"/>
    <w:rsid w:val="00812012"/>
    <w:rsid w:val="008121C4"/>
    <w:rsid w:val="008122A0"/>
    <w:rsid w:val="008132A3"/>
    <w:rsid w:val="0081353B"/>
    <w:rsid w:val="00813F47"/>
    <w:rsid w:val="008147B1"/>
    <w:rsid w:val="008147EE"/>
    <w:rsid w:val="0081491B"/>
    <w:rsid w:val="00814A19"/>
    <w:rsid w:val="00814FD2"/>
    <w:rsid w:val="0081504E"/>
    <w:rsid w:val="008156DB"/>
    <w:rsid w:val="008158E3"/>
    <w:rsid w:val="0081615D"/>
    <w:rsid w:val="008164FA"/>
    <w:rsid w:val="00816BBA"/>
    <w:rsid w:val="00817141"/>
    <w:rsid w:val="00817556"/>
    <w:rsid w:val="0081768E"/>
    <w:rsid w:val="00817783"/>
    <w:rsid w:val="00817A94"/>
    <w:rsid w:val="00817D8E"/>
    <w:rsid w:val="00817DDC"/>
    <w:rsid w:val="00817F2E"/>
    <w:rsid w:val="008203BB"/>
    <w:rsid w:val="0082065C"/>
    <w:rsid w:val="008208BD"/>
    <w:rsid w:val="00820E14"/>
    <w:rsid w:val="00820E7C"/>
    <w:rsid w:val="00821BDA"/>
    <w:rsid w:val="00822223"/>
    <w:rsid w:val="008225A9"/>
    <w:rsid w:val="008225EE"/>
    <w:rsid w:val="00822887"/>
    <w:rsid w:val="00822912"/>
    <w:rsid w:val="00822BBA"/>
    <w:rsid w:val="00823105"/>
    <w:rsid w:val="008236DA"/>
    <w:rsid w:val="00823855"/>
    <w:rsid w:val="00823866"/>
    <w:rsid w:val="00823B07"/>
    <w:rsid w:val="00823C54"/>
    <w:rsid w:val="00823D94"/>
    <w:rsid w:val="00823F10"/>
    <w:rsid w:val="00823F5A"/>
    <w:rsid w:val="00824247"/>
    <w:rsid w:val="00824447"/>
    <w:rsid w:val="00824507"/>
    <w:rsid w:val="00824B64"/>
    <w:rsid w:val="00825C16"/>
    <w:rsid w:val="00825D15"/>
    <w:rsid w:val="00826224"/>
    <w:rsid w:val="00826480"/>
    <w:rsid w:val="00827300"/>
    <w:rsid w:val="0082778F"/>
    <w:rsid w:val="0082783B"/>
    <w:rsid w:val="00827AFA"/>
    <w:rsid w:val="00827F7D"/>
    <w:rsid w:val="00827FFD"/>
    <w:rsid w:val="00830014"/>
    <w:rsid w:val="00830449"/>
    <w:rsid w:val="00830A2F"/>
    <w:rsid w:val="008310B2"/>
    <w:rsid w:val="0083114B"/>
    <w:rsid w:val="0083132A"/>
    <w:rsid w:val="00831ADE"/>
    <w:rsid w:val="00831CE8"/>
    <w:rsid w:val="00832978"/>
    <w:rsid w:val="00832BE7"/>
    <w:rsid w:val="00832C0E"/>
    <w:rsid w:val="00832CDA"/>
    <w:rsid w:val="00833541"/>
    <w:rsid w:val="0083378C"/>
    <w:rsid w:val="00833C1B"/>
    <w:rsid w:val="00833D80"/>
    <w:rsid w:val="00833F73"/>
    <w:rsid w:val="00833F8B"/>
    <w:rsid w:val="00834F65"/>
    <w:rsid w:val="00835084"/>
    <w:rsid w:val="008351E7"/>
    <w:rsid w:val="0083541B"/>
    <w:rsid w:val="008355B0"/>
    <w:rsid w:val="00835746"/>
    <w:rsid w:val="00835A82"/>
    <w:rsid w:val="00835C12"/>
    <w:rsid w:val="0083624F"/>
    <w:rsid w:val="0083625F"/>
    <w:rsid w:val="008366C8"/>
    <w:rsid w:val="00836D2B"/>
    <w:rsid w:val="00837047"/>
    <w:rsid w:val="0083742E"/>
    <w:rsid w:val="008376C3"/>
    <w:rsid w:val="008376EB"/>
    <w:rsid w:val="00837B95"/>
    <w:rsid w:val="008403DF"/>
    <w:rsid w:val="0084040E"/>
    <w:rsid w:val="008406C3"/>
    <w:rsid w:val="0084075F"/>
    <w:rsid w:val="008408B0"/>
    <w:rsid w:val="00840AC1"/>
    <w:rsid w:val="00840AD3"/>
    <w:rsid w:val="00841034"/>
    <w:rsid w:val="0084121C"/>
    <w:rsid w:val="00841C89"/>
    <w:rsid w:val="00841CDD"/>
    <w:rsid w:val="00842283"/>
    <w:rsid w:val="00842431"/>
    <w:rsid w:val="008429D0"/>
    <w:rsid w:val="00842E21"/>
    <w:rsid w:val="00842F1B"/>
    <w:rsid w:val="00843068"/>
    <w:rsid w:val="008431FF"/>
    <w:rsid w:val="00843FB1"/>
    <w:rsid w:val="0084437E"/>
    <w:rsid w:val="0084457C"/>
    <w:rsid w:val="00844D37"/>
    <w:rsid w:val="00845266"/>
    <w:rsid w:val="0084591F"/>
    <w:rsid w:val="00845939"/>
    <w:rsid w:val="00845F40"/>
    <w:rsid w:val="00846402"/>
    <w:rsid w:val="00846A57"/>
    <w:rsid w:val="00846BC5"/>
    <w:rsid w:val="00846FEB"/>
    <w:rsid w:val="008471EC"/>
    <w:rsid w:val="00847319"/>
    <w:rsid w:val="00847482"/>
    <w:rsid w:val="0084761C"/>
    <w:rsid w:val="00847B25"/>
    <w:rsid w:val="00847B54"/>
    <w:rsid w:val="008501DB"/>
    <w:rsid w:val="008505C2"/>
    <w:rsid w:val="0085072E"/>
    <w:rsid w:val="00850C7F"/>
    <w:rsid w:val="00850F89"/>
    <w:rsid w:val="00851218"/>
    <w:rsid w:val="00851404"/>
    <w:rsid w:val="00851649"/>
    <w:rsid w:val="00851872"/>
    <w:rsid w:val="008519D3"/>
    <w:rsid w:val="0085242C"/>
    <w:rsid w:val="008526A0"/>
    <w:rsid w:val="00852C91"/>
    <w:rsid w:val="00853094"/>
    <w:rsid w:val="00853142"/>
    <w:rsid w:val="00853151"/>
    <w:rsid w:val="008534C6"/>
    <w:rsid w:val="008536FF"/>
    <w:rsid w:val="00853832"/>
    <w:rsid w:val="008542DC"/>
    <w:rsid w:val="00854761"/>
    <w:rsid w:val="00854B75"/>
    <w:rsid w:val="00854BE0"/>
    <w:rsid w:val="00854DAA"/>
    <w:rsid w:val="00854E40"/>
    <w:rsid w:val="00854FAA"/>
    <w:rsid w:val="00854FC4"/>
    <w:rsid w:val="0085513A"/>
    <w:rsid w:val="00855439"/>
    <w:rsid w:val="00855616"/>
    <w:rsid w:val="0085569D"/>
    <w:rsid w:val="00855819"/>
    <w:rsid w:val="008565A7"/>
    <w:rsid w:val="00856ADB"/>
    <w:rsid w:val="00856BF3"/>
    <w:rsid w:val="00856FFD"/>
    <w:rsid w:val="008572BC"/>
    <w:rsid w:val="00857C7F"/>
    <w:rsid w:val="00857D52"/>
    <w:rsid w:val="00857DC1"/>
    <w:rsid w:val="00857EE7"/>
    <w:rsid w:val="00857F1F"/>
    <w:rsid w:val="008603E5"/>
    <w:rsid w:val="0086069D"/>
    <w:rsid w:val="008606A5"/>
    <w:rsid w:val="00860BCA"/>
    <w:rsid w:val="008610BE"/>
    <w:rsid w:val="008610E0"/>
    <w:rsid w:val="0086130D"/>
    <w:rsid w:val="008616A4"/>
    <w:rsid w:val="00861725"/>
    <w:rsid w:val="00861871"/>
    <w:rsid w:val="008622AA"/>
    <w:rsid w:val="00862676"/>
    <w:rsid w:val="0086278B"/>
    <w:rsid w:val="0086340B"/>
    <w:rsid w:val="00863913"/>
    <w:rsid w:val="00863A22"/>
    <w:rsid w:val="008642AA"/>
    <w:rsid w:val="00864322"/>
    <w:rsid w:val="00864662"/>
    <w:rsid w:val="00864AA7"/>
    <w:rsid w:val="00864AF5"/>
    <w:rsid w:val="00864B65"/>
    <w:rsid w:val="00864F87"/>
    <w:rsid w:val="008652C9"/>
    <w:rsid w:val="00865391"/>
    <w:rsid w:val="00865560"/>
    <w:rsid w:val="00865775"/>
    <w:rsid w:val="00865F5A"/>
    <w:rsid w:val="0086608E"/>
    <w:rsid w:val="008662EE"/>
    <w:rsid w:val="00866346"/>
    <w:rsid w:val="0086697C"/>
    <w:rsid w:val="00866A29"/>
    <w:rsid w:val="00866FAA"/>
    <w:rsid w:val="00867A8F"/>
    <w:rsid w:val="00867BC2"/>
    <w:rsid w:val="00867C1F"/>
    <w:rsid w:val="00867DF9"/>
    <w:rsid w:val="00867ECF"/>
    <w:rsid w:val="00871321"/>
    <w:rsid w:val="008716BD"/>
    <w:rsid w:val="008717CF"/>
    <w:rsid w:val="00872622"/>
    <w:rsid w:val="00872741"/>
    <w:rsid w:val="00872A3E"/>
    <w:rsid w:val="00872F3F"/>
    <w:rsid w:val="00872FBF"/>
    <w:rsid w:val="008731CD"/>
    <w:rsid w:val="00873AC6"/>
    <w:rsid w:val="00873CB1"/>
    <w:rsid w:val="00873FCE"/>
    <w:rsid w:val="0087446F"/>
    <w:rsid w:val="00874648"/>
    <w:rsid w:val="00874BB4"/>
    <w:rsid w:val="00874D2E"/>
    <w:rsid w:val="00875ACA"/>
    <w:rsid w:val="00875D47"/>
    <w:rsid w:val="00875E45"/>
    <w:rsid w:val="008763C9"/>
    <w:rsid w:val="0087671A"/>
    <w:rsid w:val="00876AFC"/>
    <w:rsid w:val="0087702B"/>
    <w:rsid w:val="0087709B"/>
    <w:rsid w:val="00877838"/>
    <w:rsid w:val="00877F69"/>
    <w:rsid w:val="00877F7B"/>
    <w:rsid w:val="00880595"/>
    <w:rsid w:val="00880891"/>
    <w:rsid w:val="008809EE"/>
    <w:rsid w:val="00880B6F"/>
    <w:rsid w:val="00880D58"/>
    <w:rsid w:val="00880E91"/>
    <w:rsid w:val="0088135D"/>
    <w:rsid w:val="008818E7"/>
    <w:rsid w:val="00881D0A"/>
    <w:rsid w:val="008821A6"/>
    <w:rsid w:val="0088224D"/>
    <w:rsid w:val="00882790"/>
    <w:rsid w:val="008828C1"/>
    <w:rsid w:val="00882926"/>
    <w:rsid w:val="00882A38"/>
    <w:rsid w:val="00882B6D"/>
    <w:rsid w:val="00882C0D"/>
    <w:rsid w:val="00882C36"/>
    <w:rsid w:val="00883251"/>
    <w:rsid w:val="00883254"/>
    <w:rsid w:val="008837D7"/>
    <w:rsid w:val="00883C44"/>
    <w:rsid w:val="00883CC2"/>
    <w:rsid w:val="00883CE2"/>
    <w:rsid w:val="0088416F"/>
    <w:rsid w:val="008847F2"/>
    <w:rsid w:val="00884990"/>
    <w:rsid w:val="008851DF"/>
    <w:rsid w:val="0088544F"/>
    <w:rsid w:val="00885771"/>
    <w:rsid w:val="008857DC"/>
    <w:rsid w:val="008858D0"/>
    <w:rsid w:val="00886555"/>
    <w:rsid w:val="0088668F"/>
    <w:rsid w:val="0088754D"/>
    <w:rsid w:val="00887F36"/>
    <w:rsid w:val="00890304"/>
    <w:rsid w:val="008904ED"/>
    <w:rsid w:val="00890946"/>
    <w:rsid w:val="008911E4"/>
    <w:rsid w:val="0089171F"/>
    <w:rsid w:val="00892262"/>
    <w:rsid w:val="00892281"/>
    <w:rsid w:val="008922DE"/>
    <w:rsid w:val="00892B27"/>
    <w:rsid w:val="00892F19"/>
    <w:rsid w:val="00893114"/>
    <w:rsid w:val="00893316"/>
    <w:rsid w:val="0089332E"/>
    <w:rsid w:val="008933ED"/>
    <w:rsid w:val="008934CD"/>
    <w:rsid w:val="00893A51"/>
    <w:rsid w:val="00893BE0"/>
    <w:rsid w:val="008946B7"/>
    <w:rsid w:val="008946D8"/>
    <w:rsid w:val="008947F7"/>
    <w:rsid w:val="00894988"/>
    <w:rsid w:val="00894A73"/>
    <w:rsid w:val="00894D7B"/>
    <w:rsid w:val="00894E35"/>
    <w:rsid w:val="00895108"/>
    <w:rsid w:val="00895681"/>
    <w:rsid w:val="008958B9"/>
    <w:rsid w:val="008958DE"/>
    <w:rsid w:val="00895B7C"/>
    <w:rsid w:val="00895D95"/>
    <w:rsid w:val="00895F9D"/>
    <w:rsid w:val="00895FD6"/>
    <w:rsid w:val="00896099"/>
    <w:rsid w:val="008961C1"/>
    <w:rsid w:val="008962F4"/>
    <w:rsid w:val="008969CF"/>
    <w:rsid w:val="00896F2D"/>
    <w:rsid w:val="00896F76"/>
    <w:rsid w:val="00897119"/>
    <w:rsid w:val="008971FE"/>
    <w:rsid w:val="00897579"/>
    <w:rsid w:val="008A028F"/>
    <w:rsid w:val="008A04C1"/>
    <w:rsid w:val="008A0E56"/>
    <w:rsid w:val="008A1040"/>
    <w:rsid w:val="008A1138"/>
    <w:rsid w:val="008A15E1"/>
    <w:rsid w:val="008A16EE"/>
    <w:rsid w:val="008A1870"/>
    <w:rsid w:val="008A18C4"/>
    <w:rsid w:val="008A2094"/>
    <w:rsid w:val="008A22E4"/>
    <w:rsid w:val="008A230D"/>
    <w:rsid w:val="008A2521"/>
    <w:rsid w:val="008A27F6"/>
    <w:rsid w:val="008A28B7"/>
    <w:rsid w:val="008A2CDF"/>
    <w:rsid w:val="008A357D"/>
    <w:rsid w:val="008A3792"/>
    <w:rsid w:val="008A3BD7"/>
    <w:rsid w:val="008A3CE7"/>
    <w:rsid w:val="008A3EEA"/>
    <w:rsid w:val="008A414E"/>
    <w:rsid w:val="008A4352"/>
    <w:rsid w:val="008A439F"/>
    <w:rsid w:val="008A459C"/>
    <w:rsid w:val="008A527C"/>
    <w:rsid w:val="008A5642"/>
    <w:rsid w:val="008A59B7"/>
    <w:rsid w:val="008A5CA4"/>
    <w:rsid w:val="008A62EB"/>
    <w:rsid w:val="008A6670"/>
    <w:rsid w:val="008A6A2B"/>
    <w:rsid w:val="008A6D0B"/>
    <w:rsid w:val="008A6DED"/>
    <w:rsid w:val="008A6FD0"/>
    <w:rsid w:val="008A72AC"/>
    <w:rsid w:val="008A7480"/>
    <w:rsid w:val="008A7C65"/>
    <w:rsid w:val="008A7E01"/>
    <w:rsid w:val="008B0029"/>
    <w:rsid w:val="008B0310"/>
    <w:rsid w:val="008B047E"/>
    <w:rsid w:val="008B0647"/>
    <w:rsid w:val="008B0F8D"/>
    <w:rsid w:val="008B1934"/>
    <w:rsid w:val="008B1E2E"/>
    <w:rsid w:val="008B1F32"/>
    <w:rsid w:val="008B1F7D"/>
    <w:rsid w:val="008B1FDF"/>
    <w:rsid w:val="008B20B5"/>
    <w:rsid w:val="008B2138"/>
    <w:rsid w:val="008B244C"/>
    <w:rsid w:val="008B2BD7"/>
    <w:rsid w:val="008B2D54"/>
    <w:rsid w:val="008B2D7C"/>
    <w:rsid w:val="008B3624"/>
    <w:rsid w:val="008B3CE9"/>
    <w:rsid w:val="008B4456"/>
    <w:rsid w:val="008B45E2"/>
    <w:rsid w:val="008B47EE"/>
    <w:rsid w:val="008B4C97"/>
    <w:rsid w:val="008B4CC9"/>
    <w:rsid w:val="008B521F"/>
    <w:rsid w:val="008B554B"/>
    <w:rsid w:val="008B57E1"/>
    <w:rsid w:val="008B5CD4"/>
    <w:rsid w:val="008B5E08"/>
    <w:rsid w:val="008B602E"/>
    <w:rsid w:val="008B655D"/>
    <w:rsid w:val="008B660E"/>
    <w:rsid w:val="008B6D26"/>
    <w:rsid w:val="008B6D86"/>
    <w:rsid w:val="008B7277"/>
    <w:rsid w:val="008B7354"/>
    <w:rsid w:val="008B73A1"/>
    <w:rsid w:val="008B7663"/>
    <w:rsid w:val="008B77F1"/>
    <w:rsid w:val="008B7811"/>
    <w:rsid w:val="008C06A4"/>
    <w:rsid w:val="008C07C8"/>
    <w:rsid w:val="008C0967"/>
    <w:rsid w:val="008C0A70"/>
    <w:rsid w:val="008C0DA4"/>
    <w:rsid w:val="008C1B12"/>
    <w:rsid w:val="008C1BB1"/>
    <w:rsid w:val="008C2229"/>
    <w:rsid w:val="008C272D"/>
    <w:rsid w:val="008C2CBD"/>
    <w:rsid w:val="008C2F3F"/>
    <w:rsid w:val="008C3027"/>
    <w:rsid w:val="008C35C5"/>
    <w:rsid w:val="008C370E"/>
    <w:rsid w:val="008C436D"/>
    <w:rsid w:val="008C448B"/>
    <w:rsid w:val="008C470F"/>
    <w:rsid w:val="008C4D1C"/>
    <w:rsid w:val="008C4E2D"/>
    <w:rsid w:val="008C505D"/>
    <w:rsid w:val="008C51B5"/>
    <w:rsid w:val="008C55F0"/>
    <w:rsid w:val="008C5670"/>
    <w:rsid w:val="008C6059"/>
    <w:rsid w:val="008C62BC"/>
    <w:rsid w:val="008C6AFF"/>
    <w:rsid w:val="008C6D47"/>
    <w:rsid w:val="008C70E2"/>
    <w:rsid w:val="008C7727"/>
    <w:rsid w:val="008D04FE"/>
    <w:rsid w:val="008D0846"/>
    <w:rsid w:val="008D0C39"/>
    <w:rsid w:val="008D1111"/>
    <w:rsid w:val="008D14D9"/>
    <w:rsid w:val="008D23A4"/>
    <w:rsid w:val="008D28D6"/>
    <w:rsid w:val="008D2A82"/>
    <w:rsid w:val="008D2B06"/>
    <w:rsid w:val="008D33C4"/>
    <w:rsid w:val="008D353D"/>
    <w:rsid w:val="008D38E5"/>
    <w:rsid w:val="008D406B"/>
    <w:rsid w:val="008D42E2"/>
    <w:rsid w:val="008D454F"/>
    <w:rsid w:val="008D4D7F"/>
    <w:rsid w:val="008D4DB1"/>
    <w:rsid w:val="008D4E73"/>
    <w:rsid w:val="008D5524"/>
    <w:rsid w:val="008D5629"/>
    <w:rsid w:val="008D567A"/>
    <w:rsid w:val="008D59B8"/>
    <w:rsid w:val="008D606D"/>
    <w:rsid w:val="008D6632"/>
    <w:rsid w:val="008D66D1"/>
    <w:rsid w:val="008D6902"/>
    <w:rsid w:val="008D6D0A"/>
    <w:rsid w:val="008D6ED1"/>
    <w:rsid w:val="008D72CA"/>
    <w:rsid w:val="008D73E8"/>
    <w:rsid w:val="008D74ED"/>
    <w:rsid w:val="008D786E"/>
    <w:rsid w:val="008D7A99"/>
    <w:rsid w:val="008D7DDA"/>
    <w:rsid w:val="008D7DF2"/>
    <w:rsid w:val="008E003F"/>
    <w:rsid w:val="008E03BB"/>
    <w:rsid w:val="008E077D"/>
    <w:rsid w:val="008E09EC"/>
    <w:rsid w:val="008E0FCE"/>
    <w:rsid w:val="008E1B4A"/>
    <w:rsid w:val="008E2048"/>
    <w:rsid w:val="008E2354"/>
    <w:rsid w:val="008E292F"/>
    <w:rsid w:val="008E2A66"/>
    <w:rsid w:val="008E2B6D"/>
    <w:rsid w:val="008E34C5"/>
    <w:rsid w:val="008E3884"/>
    <w:rsid w:val="008E3E65"/>
    <w:rsid w:val="008E42B5"/>
    <w:rsid w:val="008E4410"/>
    <w:rsid w:val="008E44BC"/>
    <w:rsid w:val="008E455D"/>
    <w:rsid w:val="008E4AA7"/>
    <w:rsid w:val="008E4C08"/>
    <w:rsid w:val="008E4C82"/>
    <w:rsid w:val="008E506A"/>
    <w:rsid w:val="008E53DB"/>
    <w:rsid w:val="008E57B7"/>
    <w:rsid w:val="008E5886"/>
    <w:rsid w:val="008E5CAE"/>
    <w:rsid w:val="008E6C44"/>
    <w:rsid w:val="008E71A7"/>
    <w:rsid w:val="008E7784"/>
    <w:rsid w:val="008E77A7"/>
    <w:rsid w:val="008E7DED"/>
    <w:rsid w:val="008F0165"/>
    <w:rsid w:val="008F0211"/>
    <w:rsid w:val="008F08FB"/>
    <w:rsid w:val="008F0B40"/>
    <w:rsid w:val="008F139A"/>
    <w:rsid w:val="008F139D"/>
    <w:rsid w:val="008F16EA"/>
    <w:rsid w:val="008F1980"/>
    <w:rsid w:val="008F21B9"/>
    <w:rsid w:val="008F2A56"/>
    <w:rsid w:val="008F2A7A"/>
    <w:rsid w:val="008F2B4C"/>
    <w:rsid w:val="008F2BD2"/>
    <w:rsid w:val="008F3089"/>
    <w:rsid w:val="008F322E"/>
    <w:rsid w:val="008F38BA"/>
    <w:rsid w:val="008F4441"/>
    <w:rsid w:val="008F4A2A"/>
    <w:rsid w:val="008F4A3A"/>
    <w:rsid w:val="008F4CEC"/>
    <w:rsid w:val="008F528C"/>
    <w:rsid w:val="008F5ED3"/>
    <w:rsid w:val="008F5F64"/>
    <w:rsid w:val="008F6290"/>
    <w:rsid w:val="008F7289"/>
    <w:rsid w:val="008F759A"/>
    <w:rsid w:val="008F7927"/>
    <w:rsid w:val="008F7E0D"/>
    <w:rsid w:val="008F7E47"/>
    <w:rsid w:val="00900046"/>
    <w:rsid w:val="009006FD"/>
    <w:rsid w:val="009008F6"/>
    <w:rsid w:val="00900A45"/>
    <w:rsid w:val="009016AB"/>
    <w:rsid w:val="00901801"/>
    <w:rsid w:val="0090195B"/>
    <w:rsid w:val="009019E3"/>
    <w:rsid w:val="00901E2C"/>
    <w:rsid w:val="00901FCE"/>
    <w:rsid w:val="009025D5"/>
    <w:rsid w:val="00902A63"/>
    <w:rsid w:val="009033AF"/>
    <w:rsid w:val="00903590"/>
    <w:rsid w:val="00903E1E"/>
    <w:rsid w:val="0090435B"/>
    <w:rsid w:val="00904490"/>
    <w:rsid w:val="0090489E"/>
    <w:rsid w:val="009048D7"/>
    <w:rsid w:val="009048FB"/>
    <w:rsid w:val="009055AE"/>
    <w:rsid w:val="009055AF"/>
    <w:rsid w:val="009059E4"/>
    <w:rsid w:val="00905A46"/>
    <w:rsid w:val="00905CB4"/>
    <w:rsid w:val="00905FCB"/>
    <w:rsid w:val="0090618F"/>
    <w:rsid w:val="00906388"/>
    <w:rsid w:val="00906765"/>
    <w:rsid w:val="009067C8"/>
    <w:rsid w:val="009067CC"/>
    <w:rsid w:val="0090748A"/>
    <w:rsid w:val="0090777A"/>
    <w:rsid w:val="009077CB"/>
    <w:rsid w:val="00907A40"/>
    <w:rsid w:val="00907F65"/>
    <w:rsid w:val="0091005A"/>
    <w:rsid w:val="00910266"/>
    <w:rsid w:val="0091052E"/>
    <w:rsid w:val="009106AE"/>
    <w:rsid w:val="0091078D"/>
    <w:rsid w:val="00910DE6"/>
    <w:rsid w:val="00911764"/>
    <w:rsid w:val="00911CBF"/>
    <w:rsid w:val="009125D0"/>
    <w:rsid w:val="00912960"/>
    <w:rsid w:val="009129F9"/>
    <w:rsid w:val="00912B05"/>
    <w:rsid w:val="00912EC3"/>
    <w:rsid w:val="009133F1"/>
    <w:rsid w:val="009134EB"/>
    <w:rsid w:val="009139FE"/>
    <w:rsid w:val="00913CD3"/>
    <w:rsid w:val="009144B6"/>
    <w:rsid w:val="00914BF8"/>
    <w:rsid w:val="00915354"/>
    <w:rsid w:val="009154FF"/>
    <w:rsid w:val="009156E9"/>
    <w:rsid w:val="0091586E"/>
    <w:rsid w:val="00915B83"/>
    <w:rsid w:val="00915C0D"/>
    <w:rsid w:val="00915C4F"/>
    <w:rsid w:val="00915D31"/>
    <w:rsid w:val="00915F6B"/>
    <w:rsid w:val="0091623E"/>
    <w:rsid w:val="009164C6"/>
    <w:rsid w:val="009165BC"/>
    <w:rsid w:val="00916A3E"/>
    <w:rsid w:val="00916CF1"/>
    <w:rsid w:val="00916E1F"/>
    <w:rsid w:val="00916FC7"/>
    <w:rsid w:val="0091700D"/>
    <w:rsid w:val="00917017"/>
    <w:rsid w:val="00920899"/>
    <w:rsid w:val="009216BF"/>
    <w:rsid w:val="00921A40"/>
    <w:rsid w:val="009220FF"/>
    <w:rsid w:val="00922635"/>
    <w:rsid w:val="00922A29"/>
    <w:rsid w:val="00922C98"/>
    <w:rsid w:val="0092308A"/>
    <w:rsid w:val="00923393"/>
    <w:rsid w:val="00923847"/>
    <w:rsid w:val="00923991"/>
    <w:rsid w:val="00923B17"/>
    <w:rsid w:val="00923F2D"/>
    <w:rsid w:val="0092407F"/>
    <w:rsid w:val="00924BFA"/>
    <w:rsid w:val="00924D91"/>
    <w:rsid w:val="00924FC1"/>
    <w:rsid w:val="009254D1"/>
    <w:rsid w:val="0092578F"/>
    <w:rsid w:val="00925980"/>
    <w:rsid w:val="00925B20"/>
    <w:rsid w:val="00926260"/>
    <w:rsid w:val="00926401"/>
    <w:rsid w:val="00926AFD"/>
    <w:rsid w:val="00926F23"/>
    <w:rsid w:val="00926FE3"/>
    <w:rsid w:val="00927656"/>
    <w:rsid w:val="00927C40"/>
    <w:rsid w:val="00927EAB"/>
    <w:rsid w:val="00927ECA"/>
    <w:rsid w:val="00927F9F"/>
    <w:rsid w:val="00930196"/>
    <w:rsid w:val="009302F7"/>
    <w:rsid w:val="009303F1"/>
    <w:rsid w:val="009304D1"/>
    <w:rsid w:val="00930958"/>
    <w:rsid w:val="00930DAB"/>
    <w:rsid w:val="00931458"/>
    <w:rsid w:val="00931AFE"/>
    <w:rsid w:val="00931B3D"/>
    <w:rsid w:val="00932407"/>
    <w:rsid w:val="0093284B"/>
    <w:rsid w:val="00932A77"/>
    <w:rsid w:val="00932BE9"/>
    <w:rsid w:val="00932DE6"/>
    <w:rsid w:val="00932FAD"/>
    <w:rsid w:val="00933156"/>
    <w:rsid w:val="009337E9"/>
    <w:rsid w:val="00934108"/>
    <w:rsid w:val="00934278"/>
    <w:rsid w:val="00934468"/>
    <w:rsid w:val="0093448C"/>
    <w:rsid w:val="00934A8A"/>
    <w:rsid w:val="00934F9C"/>
    <w:rsid w:val="00935018"/>
    <w:rsid w:val="00935184"/>
    <w:rsid w:val="009352FF"/>
    <w:rsid w:val="0093584B"/>
    <w:rsid w:val="00935A30"/>
    <w:rsid w:val="00935C79"/>
    <w:rsid w:val="00936106"/>
    <w:rsid w:val="009363BD"/>
    <w:rsid w:val="009365B2"/>
    <w:rsid w:val="00936813"/>
    <w:rsid w:val="009369D8"/>
    <w:rsid w:val="009372E3"/>
    <w:rsid w:val="0093730F"/>
    <w:rsid w:val="00937349"/>
    <w:rsid w:val="009375AF"/>
    <w:rsid w:val="00937722"/>
    <w:rsid w:val="00940ACE"/>
    <w:rsid w:val="00940B7B"/>
    <w:rsid w:val="00940EEF"/>
    <w:rsid w:val="009412D7"/>
    <w:rsid w:val="0094193B"/>
    <w:rsid w:val="009419A7"/>
    <w:rsid w:val="009419FC"/>
    <w:rsid w:val="0094203D"/>
    <w:rsid w:val="009421B8"/>
    <w:rsid w:val="00942205"/>
    <w:rsid w:val="009422E0"/>
    <w:rsid w:val="00942BFD"/>
    <w:rsid w:val="00942D34"/>
    <w:rsid w:val="00942F60"/>
    <w:rsid w:val="009432D7"/>
    <w:rsid w:val="00943749"/>
    <w:rsid w:val="00943836"/>
    <w:rsid w:val="00943A93"/>
    <w:rsid w:val="00945150"/>
    <w:rsid w:val="0094559E"/>
    <w:rsid w:val="00945818"/>
    <w:rsid w:val="00945D32"/>
    <w:rsid w:val="00946036"/>
    <w:rsid w:val="00946F3F"/>
    <w:rsid w:val="00947238"/>
    <w:rsid w:val="00947731"/>
    <w:rsid w:val="00947E73"/>
    <w:rsid w:val="00950257"/>
    <w:rsid w:val="00950729"/>
    <w:rsid w:val="009508ED"/>
    <w:rsid w:val="00950FC1"/>
    <w:rsid w:val="00951113"/>
    <w:rsid w:val="00951461"/>
    <w:rsid w:val="00951818"/>
    <w:rsid w:val="00951C6A"/>
    <w:rsid w:val="00951D7C"/>
    <w:rsid w:val="0095219E"/>
    <w:rsid w:val="009525F9"/>
    <w:rsid w:val="0095293D"/>
    <w:rsid w:val="00952A9F"/>
    <w:rsid w:val="0095343A"/>
    <w:rsid w:val="00953608"/>
    <w:rsid w:val="00953622"/>
    <w:rsid w:val="009539A2"/>
    <w:rsid w:val="009540C7"/>
    <w:rsid w:val="0095433B"/>
    <w:rsid w:val="00954C70"/>
    <w:rsid w:val="00954F70"/>
    <w:rsid w:val="00955392"/>
    <w:rsid w:val="009554D1"/>
    <w:rsid w:val="009555A0"/>
    <w:rsid w:val="009555EB"/>
    <w:rsid w:val="0095561A"/>
    <w:rsid w:val="0095566D"/>
    <w:rsid w:val="0095573B"/>
    <w:rsid w:val="009557BA"/>
    <w:rsid w:val="00955A77"/>
    <w:rsid w:val="00955AE3"/>
    <w:rsid w:val="00955B78"/>
    <w:rsid w:val="00955D93"/>
    <w:rsid w:val="0095661F"/>
    <w:rsid w:val="00957042"/>
    <w:rsid w:val="00957585"/>
    <w:rsid w:val="00957BAD"/>
    <w:rsid w:val="00957C1E"/>
    <w:rsid w:val="00957E62"/>
    <w:rsid w:val="00960635"/>
    <w:rsid w:val="0096078D"/>
    <w:rsid w:val="0096096F"/>
    <w:rsid w:val="00960D8D"/>
    <w:rsid w:val="00960F50"/>
    <w:rsid w:val="00961542"/>
    <w:rsid w:val="009616E4"/>
    <w:rsid w:val="00961C69"/>
    <w:rsid w:val="00961E8F"/>
    <w:rsid w:val="00961F75"/>
    <w:rsid w:val="009622C3"/>
    <w:rsid w:val="0096262C"/>
    <w:rsid w:val="00962A5D"/>
    <w:rsid w:val="00962E52"/>
    <w:rsid w:val="00963758"/>
    <w:rsid w:val="00963F77"/>
    <w:rsid w:val="009642A3"/>
    <w:rsid w:val="0096466C"/>
    <w:rsid w:val="009647E8"/>
    <w:rsid w:val="00964950"/>
    <w:rsid w:val="00965710"/>
    <w:rsid w:val="0096585D"/>
    <w:rsid w:val="00966035"/>
    <w:rsid w:val="00966114"/>
    <w:rsid w:val="009665E4"/>
    <w:rsid w:val="0096677C"/>
    <w:rsid w:val="00966981"/>
    <w:rsid w:val="00966B2D"/>
    <w:rsid w:val="00966BDE"/>
    <w:rsid w:val="00966CF0"/>
    <w:rsid w:val="00966E92"/>
    <w:rsid w:val="00967114"/>
    <w:rsid w:val="00967350"/>
    <w:rsid w:val="00967CD8"/>
    <w:rsid w:val="009702B7"/>
    <w:rsid w:val="00970BC9"/>
    <w:rsid w:val="009711D3"/>
    <w:rsid w:val="00971355"/>
    <w:rsid w:val="009713D7"/>
    <w:rsid w:val="009714B4"/>
    <w:rsid w:val="009718F8"/>
    <w:rsid w:val="0097196F"/>
    <w:rsid w:val="0097214F"/>
    <w:rsid w:val="009724F7"/>
    <w:rsid w:val="009725B4"/>
    <w:rsid w:val="00972687"/>
    <w:rsid w:val="009728D2"/>
    <w:rsid w:val="00972CA8"/>
    <w:rsid w:val="00972D8D"/>
    <w:rsid w:val="00972E8C"/>
    <w:rsid w:val="00973691"/>
    <w:rsid w:val="00973AC4"/>
    <w:rsid w:val="00973BDF"/>
    <w:rsid w:val="00974058"/>
    <w:rsid w:val="009745D0"/>
    <w:rsid w:val="009747AA"/>
    <w:rsid w:val="009747AB"/>
    <w:rsid w:val="00974E59"/>
    <w:rsid w:val="00974FCB"/>
    <w:rsid w:val="009758B0"/>
    <w:rsid w:val="009767BB"/>
    <w:rsid w:val="009774D4"/>
    <w:rsid w:val="00977710"/>
    <w:rsid w:val="009801AF"/>
    <w:rsid w:val="00980439"/>
    <w:rsid w:val="0098083A"/>
    <w:rsid w:val="009808AC"/>
    <w:rsid w:val="009816F8"/>
    <w:rsid w:val="00981DF1"/>
    <w:rsid w:val="00982242"/>
    <w:rsid w:val="00982B61"/>
    <w:rsid w:val="0098356F"/>
    <w:rsid w:val="00983745"/>
    <w:rsid w:val="00983921"/>
    <w:rsid w:val="00983C1C"/>
    <w:rsid w:val="00983D15"/>
    <w:rsid w:val="00984051"/>
    <w:rsid w:val="00984775"/>
    <w:rsid w:val="00984D66"/>
    <w:rsid w:val="009857F7"/>
    <w:rsid w:val="00985A5D"/>
    <w:rsid w:val="00985B96"/>
    <w:rsid w:val="00986329"/>
    <w:rsid w:val="0098665E"/>
    <w:rsid w:val="00986890"/>
    <w:rsid w:val="0098757E"/>
    <w:rsid w:val="009876E8"/>
    <w:rsid w:val="009900DF"/>
    <w:rsid w:val="00990373"/>
    <w:rsid w:val="009903DD"/>
    <w:rsid w:val="00990522"/>
    <w:rsid w:val="00990AA7"/>
    <w:rsid w:val="00990D10"/>
    <w:rsid w:val="00990E68"/>
    <w:rsid w:val="00991086"/>
    <w:rsid w:val="00991343"/>
    <w:rsid w:val="00991924"/>
    <w:rsid w:val="00991B47"/>
    <w:rsid w:val="00991C00"/>
    <w:rsid w:val="00991CE0"/>
    <w:rsid w:val="00991FFF"/>
    <w:rsid w:val="00992447"/>
    <w:rsid w:val="00992D7B"/>
    <w:rsid w:val="00992DCF"/>
    <w:rsid w:val="00992EAE"/>
    <w:rsid w:val="00993503"/>
    <w:rsid w:val="0099364D"/>
    <w:rsid w:val="0099373C"/>
    <w:rsid w:val="00993CFF"/>
    <w:rsid w:val="00993F49"/>
    <w:rsid w:val="0099437D"/>
    <w:rsid w:val="00994439"/>
    <w:rsid w:val="009949DB"/>
    <w:rsid w:val="009951F5"/>
    <w:rsid w:val="009952D9"/>
    <w:rsid w:val="00995858"/>
    <w:rsid w:val="00995DEB"/>
    <w:rsid w:val="009966BD"/>
    <w:rsid w:val="009970BD"/>
    <w:rsid w:val="009975B7"/>
    <w:rsid w:val="00997BC1"/>
    <w:rsid w:val="00997CFF"/>
    <w:rsid w:val="00997E06"/>
    <w:rsid w:val="009A0139"/>
    <w:rsid w:val="009A0156"/>
    <w:rsid w:val="009A0181"/>
    <w:rsid w:val="009A07A2"/>
    <w:rsid w:val="009A09AD"/>
    <w:rsid w:val="009A09F9"/>
    <w:rsid w:val="009A0EC9"/>
    <w:rsid w:val="009A1279"/>
    <w:rsid w:val="009A1720"/>
    <w:rsid w:val="009A1A49"/>
    <w:rsid w:val="009A1EF5"/>
    <w:rsid w:val="009A210F"/>
    <w:rsid w:val="009A2207"/>
    <w:rsid w:val="009A22C7"/>
    <w:rsid w:val="009A2679"/>
    <w:rsid w:val="009A2D2C"/>
    <w:rsid w:val="009A3130"/>
    <w:rsid w:val="009A3A5C"/>
    <w:rsid w:val="009A3A6C"/>
    <w:rsid w:val="009A3CFE"/>
    <w:rsid w:val="009A404D"/>
    <w:rsid w:val="009A498A"/>
    <w:rsid w:val="009A498C"/>
    <w:rsid w:val="009A4DC5"/>
    <w:rsid w:val="009A4E73"/>
    <w:rsid w:val="009A5037"/>
    <w:rsid w:val="009A532A"/>
    <w:rsid w:val="009A5382"/>
    <w:rsid w:val="009A5642"/>
    <w:rsid w:val="009A578E"/>
    <w:rsid w:val="009A5B93"/>
    <w:rsid w:val="009A5C8B"/>
    <w:rsid w:val="009A62D1"/>
    <w:rsid w:val="009A64B1"/>
    <w:rsid w:val="009A68E8"/>
    <w:rsid w:val="009A76EC"/>
    <w:rsid w:val="009A7F40"/>
    <w:rsid w:val="009B0049"/>
    <w:rsid w:val="009B0124"/>
    <w:rsid w:val="009B04A5"/>
    <w:rsid w:val="009B04D9"/>
    <w:rsid w:val="009B054C"/>
    <w:rsid w:val="009B0887"/>
    <w:rsid w:val="009B0BBA"/>
    <w:rsid w:val="009B0CA8"/>
    <w:rsid w:val="009B0EDF"/>
    <w:rsid w:val="009B0F33"/>
    <w:rsid w:val="009B204C"/>
    <w:rsid w:val="009B20F2"/>
    <w:rsid w:val="009B238F"/>
    <w:rsid w:val="009B2803"/>
    <w:rsid w:val="009B2A7C"/>
    <w:rsid w:val="009B2FBB"/>
    <w:rsid w:val="009B30C0"/>
    <w:rsid w:val="009B3208"/>
    <w:rsid w:val="009B348B"/>
    <w:rsid w:val="009B364B"/>
    <w:rsid w:val="009B39BB"/>
    <w:rsid w:val="009B3D53"/>
    <w:rsid w:val="009B44D3"/>
    <w:rsid w:val="009B529D"/>
    <w:rsid w:val="009B5669"/>
    <w:rsid w:val="009B567C"/>
    <w:rsid w:val="009B5853"/>
    <w:rsid w:val="009B5AB8"/>
    <w:rsid w:val="009B5E2E"/>
    <w:rsid w:val="009B5ED2"/>
    <w:rsid w:val="009B6064"/>
    <w:rsid w:val="009B6615"/>
    <w:rsid w:val="009B6E4D"/>
    <w:rsid w:val="009B7582"/>
    <w:rsid w:val="009B77A0"/>
    <w:rsid w:val="009B7854"/>
    <w:rsid w:val="009B7DD2"/>
    <w:rsid w:val="009B7E13"/>
    <w:rsid w:val="009C1176"/>
    <w:rsid w:val="009C1B66"/>
    <w:rsid w:val="009C1CC1"/>
    <w:rsid w:val="009C21F2"/>
    <w:rsid w:val="009C24DE"/>
    <w:rsid w:val="009C25BA"/>
    <w:rsid w:val="009C267A"/>
    <w:rsid w:val="009C28A0"/>
    <w:rsid w:val="009C2AC3"/>
    <w:rsid w:val="009C310D"/>
    <w:rsid w:val="009C3206"/>
    <w:rsid w:val="009C34A4"/>
    <w:rsid w:val="009C3A04"/>
    <w:rsid w:val="009C3A99"/>
    <w:rsid w:val="009C3DE0"/>
    <w:rsid w:val="009C412C"/>
    <w:rsid w:val="009C4333"/>
    <w:rsid w:val="009C440B"/>
    <w:rsid w:val="009C4738"/>
    <w:rsid w:val="009C48A9"/>
    <w:rsid w:val="009C4ABB"/>
    <w:rsid w:val="009C4AFF"/>
    <w:rsid w:val="009C549E"/>
    <w:rsid w:val="009C559B"/>
    <w:rsid w:val="009C6131"/>
    <w:rsid w:val="009C64C6"/>
    <w:rsid w:val="009C6787"/>
    <w:rsid w:val="009C67DF"/>
    <w:rsid w:val="009C6E7C"/>
    <w:rsid w:val="009C764C"/>
    <w:rsid w:val="009C7791"/>
    <w:rsid w:val="009C7B85"/>
    <w:rsid w:val="009D00BC"/>
    <w:rsid w:val="009D014A"/>
    <w:rsid w:val="009D02D9"/>
    <w:rsid w:val="009D062D"/>
    <w:rsid w:val="009D0748"/>
    <w:rsid w:val="009D0A35"/>
    <w:rsid w:val="009D0BF4"/>
    <w:rsid w:val="009D0E79"/>
    <w:rsid w:val="009D1109"/>
    <w:rsid w:val="009D117A"/>
    <w:rsid w:val="009D1556"/>
    <w:rsid w:val="009D1A16"/>
    <w:rsid w:val="009D1A3D"/>
    <w:rsid w:val="009D2172"/>
    <w:rsid w:val="009D219B"/>
    <w:rsid w:val="009D280C"/>
    <w:rsid w:val="009D2ECD"/>
    <w:rsid w:val="009D3309"/>
    <w:rsid w:val="009D3B30"/>
    <w:rsid w:val="009D3EB1"/>
    <w:rsid w:val="009D3FB2"/>
    <w:rsid w:val="009D4276"/>
    <w:rsid w:val="009D4751"/>
    <w:rsid w:val="009D4B15"/>
    <w:rsid w:val="009D5159"/>
    <w:rsid w:val="009D528A"/>
    <w:rsid w:val="009D56F5"/>
    <w:rsid w:val="009D5C8A"/>
    <w:rsid w:val="009D5DD2"/>
    <w:rsid w:val="009D6482"/>
    <w:rsid w:val="009D7745"/>
    <w:rsid w:val="009D77CF"/>
    <w:rsid w:val="009E0041"/>
    <w:rsid w:val="009E0048"/>
    <w:rsid w:val="009E015C"/>
    <w:rsid w:val="009E03E0"/>
    <w:rsid w:val="009E048A"/>
    <w:rsid w:val="009E04AF"/>
    <w:rsid w:val="009E0C52"/>
    <w:rsid w:val="009E0CDA"/>
    <w:rsid w:val="009E10F6"/>
    <w:rsid w:val="009E12D1"/>
    <w:rsid w:val="009E18C7"/>
    <w:rsid w:val="009E2BC4"/>
    <w:rsid w:val="009E2E0E"/>
    <w:rsid w:val="009E314A"/>
    <w:rsid w:val="009E3498"/>
    <w:rsid w:val="009E3ADF"/>
    <w:rsid w:val="009E3B3D"/>
    <w:rsid w:val="009E49A6"/>
    <w:rsid w:val="009E49F1"/>
    <w:rsid w:val="009E58D7"/>
    <w:rsid w:val="009E643F"/>
    <w:rsid w:val="009E6774"/>
    <w:rsid w:val="009E679B"/>
    <w:rsid w:val="009E6C7E"/>
    <w:rsid w:val="009E6D70"/>
    <w:rsid w:val="009E7673"/>
    <w:rsid w:val="009E7BB3"/>
    <w:rsid w:val="009E7EBE"/>
    <w:rsid w:val="009F06DC"/>
    <w:rsid w:val="009F0735"/>
    <w:rsid w:val="009F0D4A"/>
    <w:rsid w:val="009F0FA2"/>
    <w:rsid w:val="009F1068"/>
    <w:rsid w:val="009F1199"/>
    <w:rsid w:val="009F12B5"/>
    <w:rsid w:val="009F1A74"/>
    <w:rsid w:val="009F1A7C"/>
    <w:rsid w:val="009F1EBE"/>
    <w:rsid w:val="009F2164"/>
    <w:rsid w:val="009F21B0"/>
    <w:rsid w:val="009F2670"/>
    <w:rsid w:val="009F2AFB"/>
    <w:rsid w:val="009F2E14"/>
    <w:rsid w:val="009F33D5"/>
    <w:rsid w:val="009F43DC"/>
    <w:rsid w:val="009F48D5"/>
    <w:rsid w:val="009F4BC9"/>
    <w:rsid w:val="009F4CBF"/>
    <w:rsid w:val="009F4F83"/>
    <w:rsid w:val="009F508B"/>
    <w:rsid w:val="009F5162"/>
    <w:rsid w:val="009F52B2"/>
    <w:rsid w:val="009F54D6"/>
    <w:rsid w:val="009F5A1A"/>
    <w:rsid w:val="009F60BC"/>
    <w:rsid w:val="009F60EA"/>
    <w:rsid w:val="009F6594"/>
    <w:rsid w:val="009F6DFC"/>
    <w:rsid w:val="009F7084"/>
    <w:rsid w:val="009F724A"/>
    <w:rsid w:val="009F796E"/>
    <w:rsid w:val="009F7C43"/>
    <w:rsid w:val="009F7FAC"/>
    <w:rsid w:val="009F7FC8"/>
    <w:rsid w:val="009F7FF0"/>
    <w:rsid w:val="00A00340"/>
    <w:rsid w:val="00A00352"/>
    <w:rsid w:val="00A00536"/>
    <w:rsid w:val="00A0121D"/>
    <w:rsid w:val="00A014A7"/>
    <w:rsid w:val="00A01C4F"/>
    <w:rsid w:val="00A033EF"/>
    <w:rsid w:val="00A03479"/>
    <w:rsid w:val="00A0358F"/>
    <w:rsid w:val="00A036B5"/>
    <w:rsid w:val="00A037D6"/>
    <w:rsid w:val="00A03838"/>
    <w:rsid w:val="00A03C14"/>
    <w:rsid w:val="00A03FB1"/>
    <w:rsid w:val="00A043FD"/>
    <w:rsid w:val="00A045A7"/>
    <w:rsid w:val="00A047F8"/>
    <w:rsid w:val="00A04866"/>
    <w:rsid w:val="00A04B0D"/>
    <w:rsid w:val="00A04CF8"/>
    <w:rsid w:val="00A04DB8"/>
    <w:rsid w:val="00A0575E"/>
    <w:rsid w:val="00A05929"/>
    <w:rsid w:val="00A05A30"/>
    <w:rsid w:val="00A05B00"/>
    <w:rsid w:val="00A05ED7"/>
    <w:rsid w:val="00A06327"/>
    <w:rsid w:val="00A06557"/>
    <w:rsid w:val="00A0689D"/>
    <w:rsid w:val="00A06A5A"/>
    <w:rsid w:val="00A06C84"/>
    <w:rsid w:val="00A072EE"/>
    <w:rsid w:val="00A075F7"/>
    <w:rsid w:val="00A076FF"/>
    <w:rsid w:val="00A07F1B"/>
    <w:rsid w:val="00A1050D"/>
    <w:rsid w:val="00A106FE"/>
    <w:rsid w:val="00A10830"/>
    <w:rsid w:val="00A108E9"/>
    <w:rsid w:val="00A10F26"/>
    <w:rsid w:val="00A11A34"/>
    <w:rsid w:val="00A11A9E"/>
    <w:rsid w:val="00A1288D"/>
    <w:rsid w:val="00A128F9"/>
    <w:rsid w:val="00A12A45"/>
    <w:rsid w:val="00A12C29"/>
    <w:rsid w:val="00A12EDE"/>
    <w:rsid w:val="00A134B6"/>
    <w:rsid w:val="00A13594"/>
    <w:rsid w:val="00A136B2"/>
    <w:rsid w:val="00A13A54"/>
    <w:rsid w:val="00A13AF0"/>
    <w:rsid w:val="00A13B79"/>
    <w:rsid w:val="00A13D8E"/>
    <w:rsid w:val="00A14796"/>
    <w:rsid w:val="00A151C3"/>
    <w:rsid w:val="00A15212"/>
    <w:rsid w:val="00A153CE"/>
    <w:rsid w:val="00A154E6"/>
    <w:rsid w:val="00A1559C"/>
    <w:rsid w:val="00A15EFC"/>
    <w:rsid w:val="00A16788"/>
    <w:rsid w:val="00A16FC0"/>
    <w:rsid w:val="00A17026"/>
    <w:rsid w:val="00A170A5"/>
    <w:rsid w:val="00A1738A"/>
    <w:rsid w:val="00A175CC"/>
    <w:rsid w:val="00A17630"/>
    <w:rsid w:val="00A17AB8"/>
    <w:rsid w:val="00A20247"/>
    <w:rsid w:val="00A2035C"/>
    <w:rsid w:val="00A20A36"/>
    <w:rsid w:val="00A20B17"/>
    <w:rsid w:val="00A20DBF"/>
    <w:rsid w:val="00A2103B"/>
    <w:rsid w:val="00A2191F"/>
    <w:rsid w:val="00A21B22"/>
    <w:rsid w:val="00A21BF9"/>
    <w:rsid w:val="00A21D6F"/>
    <w:rsid w:val="00A21E07"/>
    <w:rsid w:val="00A2222B"/>
    <w:rsid w:val="00A222BA"/>
    <w:rsid w:val="00A222BF"/>
    <w:rsid w:val="00A226AD"/>
    <w:rsid w:val="00A22763"/>
    <w:rsid w:val="00A227EE"/>
    <w:rsid w:val="00A22A9B"/>
    <w:rsid w:val="00A23063"/>
    <w:rsid w:val="00A236E2"/>
    <w:rsid w:val="00A23E6D"/>
    <w:rsid w:val="00A23EF1"/>
    <w:rsid w:val="00A24245"/>
    <w:rsid w:val="00A24AA5"/>
    <w:rsid w:val="00A24B7B"/>
    <w:rsid w:val="00A24D84"/>
    <w:rsid w:val="00A24E8F"/>
    <w:rsid w:val="00A25189"/>
    <w:rsid w:val="00A2563A"/>
    <w:rsid w:val="00A2589A"/>
    <w:rsid w:val="00A258CA"/>
    <w:rsid w:val="00A25B70"/>
    <w:rsid w:val="00A25E07"/>
    <w:rsid w:val="00A2655C"/>
    <w:rsid w:val="00A2659C"/>
    <w:rsid w:val="00A267AA"/>
    <w:rsid w:val="00A26BE8"/>
    <w:rsid w:val="00A26D88"/>
    <w:rsid w:val="00A26E15"/>
    <w:rsid w:val="00A2753D"/>
    <w:rsid w:val="00A27586"/>
    <w:rsid w:val="00A279AB"/>
    <w:rsid w:val="00A27A41"/>
    <w:rsid w:val="00A27E06"/>
    <w:rsid w:val="00A27E23"/>
    <w:rsid w:val="00A27F41"/>
    <w:rsid w:val="00A30003"/>
    <w:rsid w:val="00A30144"/>
    <w:rsid w:val="00A30215"/>
    <w:rsid w:val="00A302E6"/>
    <w:rsid w:val="00A30309"/>
    <w:rsid w:val="00A3061D"/>
    <w:rsid w:val="00A308C2"/>
    <w:rsid w:val="00A30A53"/>
    <w:rsid w:val="00A30E50"/>
    <w:rsid w:val="00A30E78"/>
    <w:rsid w:val="00A30EA7"/>
    <w:rsid w:val="00A30EF5"/>
    <w:rsid w:val="00A31006"/>
    <w:rsid w:val="00A314ED"/>
    <w:rsid w:val="00A31E5E"/>
    <w:rsid w:val="00A3211D"/>
    <w:rsid w:val="00A331CB"/>
    <w:rsid w:val="00A3333D"/>
    <w:rsid w:val="00A339FB"/>
    <w:rsid w:val="00A343F5"/>
    <w:rsid w:val="00A3456B"/>
    <w:rsid w:val="00A3458D"/>
    <w:rsid w:val="00A346F6"/>
    <w:rsid w:val="00A351A1"/>
    <w:rsid w:val="00A356A5"/>
    <w:rsid w:val="00A35D18"/>
    <w:rsid w:val="00A35F57"/>
    <w:rsid w:val="00A36B74"/>
    <w:rsid w:val="00A36BDB"/>
    <w:rsid w:val="00A36C9B"/>
    <w:rsid w:val="00A3703C"/>
    <w:rsid w:val="00A372EC"/>
    <w:rsid w:val="00A40150"/>
    <w:rsid w:val="00A40704"/>
    <w:rsid w:val="00A40721"/>
    <w:rsid w:val="00A40B2E"/>
    <w:rsid w:val="00A40DF5"/>
    <w:rsid w:val="00A416C5"/>
    <w:rsid w:val="00A41BB6"/>
    <w:rsid w:val="00A41DD3"/>
    <w:rsid w:val="00A4246B"/>
    <w:rsid w:val="00A427A0"/>
    <w:rsid w:val="00A42A5E"/>
    <w:rsid w:val="00A42D71"/>
    <w:rsid w:val="00A42EBD"/>
    <w:rsid w:val="00A42EF5"/>
    <w:rsid w:val="00A43171"/>
    <w:rsid w:val="00A43342"/>
    <w:rsid w:val="00A43604"/>
    <w:rsid w:val="00A43B19"/>
    <w:rsid w:val="00A43C11"/>
    <w:rsid w:val="00A4410A"/>
    <w:rsid w:val="00A442B5"/>
    <w:rsid w:val="00A444A7"/>
    <w:rsid w:val="00A44B38"/>
    <w:rsid w:val="00A44C18"/>
    <w:rsid w:val="00A44D1B"/>
    <w:rsid w:val="00A45034"/>
    <w:rsid w:val="00A45258"/>
    <w:rsid w:val="00A45611"/>
    <w:rsid w:val="00A45B8D"/>
    <w:rsid w:val="00A46394"/>
    <w:rsid w:val="00A4644F"/>
    <w:rsid w:val="00A464EC"/>
    <w:rsid w:val="00A46990"/>
    <w:rsid w:val="00A46E2A"/>
    <w:rsid w:val="00A471C0"/>
    <w:rsid w:val="00A4734C"/>
    <w:rsid w:val="00A476ED"/>
    <w:rsid w:val="00A4789E"/>
    <w:rsid w:val="00A47999"/>
    <w:rsid w:val="00A47A21"/>
    <w:rsid w:val="00A47F4E"/>
    <w:rsid w:val="00A500A2"/>
    <w:rsid w:val="00A50622"/>
    <w:rsid w:val="00A50C94"/>
    <w:rsid w:val="00A50E1F"/>
    <w:rsid w:val="00A51200"/>
    <w:rsid w:val="00A5143F"/>
    <w:rsid w:val="00A5147F"/>
    <w:rsid w:val="00A514D4"/>
    <w:rsid w:val="00A51610"/>
    <w:rsid w:val="00A51AD8"/>
    <w:rsid w:val="00A526E3"/>
    <w:rsid w:val="00A52CFB"/>
    <w:rsid w:val="00A53197"/>
    <w:rsid w:val="00A53255"/>
    <w:rsid w:val="00A5336E"/>
    <w:rsid w:val="00A53ABE"/>
    <w:rsid w:val="00A53C17"/>
    <w:rsid w:val="00A53F2D"/>
    <w:rsid w:val="00A544DD"/>
    <w:rsid w:val="00A54E70"/>
    <w:rsid w:val="00A54ED7"/>
    <w:rsid w:val="00A54FD3"/>
    <w:rsid w:val="00A551A3"/>
    <w:rsid w:val="00A5582D"/>
    <w:rsid w:val="00A5589D"/>
    <w:rsid w:val="00A55980"/>
    <w:rsid w:val="00A55CC1"/>
    <w:rsid w:val="00A562EB"/>
    <w:rsid w:val="00A56678"/>
    <w:rsid w:val="00A567D1"/>
    <w:rsid w:val="00A56B41"/>
    <w:rsid w:val="00A56C75"/>
    <w:rsid w:val="00A56F3E"/>
    <w:rsid w:val="00A57AC7"/>
    <w:rsid w:val="00A57CBB"/>
    <w:rsid w:val="00A57DA4"/>
    <w:rsid w:val="00A57DD7"/>
    <w:rsid w:val="00A6062D"/>
    <w:rsid w:val="00A6064B"/>
    <w:rsid w:val="00A60A57"/>
    <w:rsid w:val="00A60C1E"/>
    <w:rsid w:val="00A60D74"/>
    <w:rsid w:val="00A616A0"/>
    <w:rsid w:val="00A6234F"/>
    <w:rsid w:val="00A627AD"/>
    <w:rsid w:val="00A62946"/>
    <w:rsid w:val="00A62C11"/>
    <w:rsid w:val="00A62C25"/>
    <w:rsid w:val="00A62CDE"/>
    <w:rsid w:val="00A62D0C"/>
    <w:rsid w:val="00A62EB4"/>
    <w:rsid w:val="00A631CD"/>
    <w:rsid w:val="00A63596"/>
    <w:rsid w:val="00A63A82"/>
    <w:rsid w:val="00A63CD0"/>
    <w:rsid w:val="00A642A5"/>
    <w:rsid w:val="00A64960"/>
    <w:rsid w:val="00A64981"/>
    <w:rsid w:val="00A64A61"/>
    <w:rsid w:val="00A64D5F"/>
    <w:rsid w:val="00A650BB"/>
    <w:rsid w:val="00A65201"/>
    <w:rsid w:val="00A653E7"/>
    <w:rsid w:val="00A65AD6"/>
    <w:rsid w:val="00A665C0"/>
    <w:rsid w:val="00A6698C"/>
    <w:rsid w:val="00A66A9C"/>
    <w:rsid w:val="00A66B40"/>
    <w:rsid w:val="00A66D07"/>
    <w:rsid w:val="00A66D23"/>
    <w:rsid w:val="00A66DB6"/>
    <w:rsid w:val="00A67008"/>
    <w:rsid w:val="00A67084"/>
    <w:rsid w:val="00A6725C"/>
    <w:rsid w:val="00A67363"/>
    <w:rsid w:val="00A6738A"/>
    <w:rsid w:val="00A67574"/>
    <w:rsid w:val="00A677B7"/>
    <w:rsid w:val="00A67E3A"/>
    <w:rsid w:val="00A704C6"/>
    <w:rsid w:val="00A7095B"/>
    <w:rsid w:val="00A70D04"/>
    <w:rsid w:val="00A70F22"/>
    <w:rsid w:val="00A71163"/>
    <w:rsid w:val="00A711F8"/>
    <w:rsid w:val="00A719C0"/>
    <w:rsid w:val="00A719EC"/>
    <w:rsid w:val="00A71BE6"/>
    <w:rsid w:val="00A727A5"/>
    <w:rsid w:val="00A72CBA"/>
    <w:rsid w:val="00A72F0E"/>
    <w:rsid w:val="00A73102"/>
    <w:rsid w:val="00A73A65"/>
    <w:rsid w:val="00A73B02"/>
    <w:rsid w:val="00A74032"/>
    <w:rsid w:val="00A74816"/>
    <w:rsid w:val="00A74C13"/>
    <w:rsid w:val="00A74D00"/>
    <w:rsid w:val="00A75427"/>
    <w:rsid w:val="00A75876"/>
    <w:rsid w:val="00A7590F"/>
    <w:rsid w:val="00A75AF2"/>
    <w:rsid w:val="00A75BB4"/>
    <w:rsid w:val="00A75E8F"/>
    <w:rsid w:val="00A76161"/>
    <w:rsid w:val="00A76509"/>
    <w:rsid w:val="00A76635"/>
    <w:rsid w:val="00A7686E"/>
    <w:rsid w:val="00A76B8A"/>
    <w:rsid w:val="00A76CB4"/>
    <w:rsid w:val="00A771D0"/>
    <w:rsid w:val="00A7755C"/>
    <w:rsid w:val="00A777DD"/>
    <w:rsid w:val="00A779AB"/>
    <w:rsid w:val="00A77B98"/>
    <w:rsid w:val="00A8022C"/>
    <w:rsid w:val="00A80986"/>
    <w:rsid w:val="00A81D96"/>
    <w:rsid w:val="00A81E34"/>
    <w:rsid w:val="00A82B1A"/>
    <w:rsid w:val="00A82B1B"/>
    <w:rsid w:val="00A82FDB"/>
    <w:rsid w:val="00A8311F"/>
    <w:rsid w:val="00A83278"/>
    <w:rsid w:val="00A83486"/>
    <w:rsid w:val="00A836E8"/>
    <w:rsid w:val="00A83B18"/>
    <w:rsid w:val="00A83E4E"/>
    <w:rsid w:val="00A83EAC"/>
    <w:rsid w:val="00A84724"/>
    <w:rsid w:val="00A84800"/>
    <w:rsid w:val="00A853EB"/>
    <w:rsid w:val="00A85609"/>
    <w:rsid w:val="00A85711"/>
    <w:rsid w:val="00A863D7"/>
    <w:rsid w:val="00A86AD8"/>
    <w:rsid w:val="00A86E35"/>
    <w:rsid w:val="00A86FF8"/>
    <w:rsid w:val="00A87154"/>
    <w:rsid w:val="00A8746E"/>
    <w:rsid w:val="00A87F3C"/>
    <w:rsid w:val="00A901F7"/>
    <w:rsid w:val="00A9073E"/>
    <w:rsid w:val="00A9085D"/>
    <w:rsid w:val="00A909EA"/>
    <w:rsid w:val="00A919D9"/>
    <w:rsid w:val="00A91CF8"/>
    <w:rsid w:val="00A91FED"/>
    <w:rsid w:val="00A923D5"/>
    <w:rsid w:val="00A92FB1"/>
    <w:rsid w:val="00A93E57"/>
    <w:rsid w:val="00A93FF1"/>
    <w:rsid w:val="00A9409B"/>
    <w:rsid w:val="00A94146"/>
    <w:rsid w:val="00A94388"/>
    <w:rsid w:val="00A949FF"/>
    <w:rsid w:val="00A95066"/>
    <w:rsid w:val="00A958D9"/>
    <w:rsid w:val="00A95ACF"/>
    <w:rsid w:val="00A97698"/>
    <w:rsid w:val="00A977C0"/>
    <w:rsid w:val="00AA014F"/>
    <w:rsid w:val="00AA0B60"/>
    <w:rsid w:val="00AA0FA9"/>
    <w:rsid w:val="00AA13B9"/>
    <w:rsid w:val="00AA1605"/>
    <w:rsid w:val="00AA174B"/>
    <w:rsid w:val="00AA2B13"/>
    <w:rsid w:val="00AA2B8C"/>
    <w:rsid w:val="00AA2F97"/>
    <w:rsid w:val="00AA2FAB"/>
    <w:rsid w:val="00AA3163"/>
    <w:rsid w:val="00AA320F"/>
    <w:rsid w:val="00AA3307"/>
    <w:rsid w:val="00AA3389"/>
    <w:rsid w:val="00AA33BC"/>
    <w:rsid w:val="00AA3906"/>
    <w:rsid w:val="00AA394F"/>
    <w:rsid w:val="00AA3AF3"/>
    <w:rsid w:val="00AA3BAE"/>
    <w:rsid w:val="00AA3DD1"/>
    <w:rsid w:val="00AA3DD3"/>
    <w:rsid w:val="00AA42E2"/>
    <w:rsid w:val="00AA4393"/>
    <w:rsid w:val="00AA4609"/>
    <w:rsid w:val="00AA472A"/>
    <w:rsid w:val="00AA474B"/>
    <w:rsid w:val="00AA49CE"/>
    <w:rsid w:val="00AA4A0E"/>
    <w:rsid w:val="00AA4BDF"/>
    <w:rsid w:val="00AA4DE1"/>
    <w:rsid w:val="00AA5892"/>
    <w:rsid w:val="00AA5949"/>
    <w:rsid w:val="00AA5B67"/>
    <w:rsid w:val="00AA5C5B"/>
    <w:rsid w:val="00AA5CF2"/>
    <w:rsid w:val="00AA6314"/>
    <w:rsid w:val="00AA6C9D"/>
    <w:rsid w:val="00AA79D0"/>
    <w:rsid w:val="00AA7A0D"/>
    <w:rsid w:val="00AA7CEF"/>
    <w:rsid w:val="00AA7DB4"/>
    <w:rsid w:val="00AB0129"/>
    <w:rsid w:val="00AB0136"/>
    <w:rsid w:val="00AB02BD"/>
    <w:rsid w:val="00AB042A"/>
    <w:rsid w:val="00AB07AD"/>
    <w:rsid w:val="00AB0C33"/>
    <w:rsid w:val="00AB0CC8"/>
    <w:rsid w:val="00AB1005"/>
    <w:rsid w:val="00AB13CA"/>
    <w:rsid w:val="00AB19FB"/>
    <w:rsid w:val="00AB1A42"/>
    <w:rsid w:val="00AB1BE4"/>
    <w:rsid w:val="00AB1FA1"/>
    <w:rsid w:val="00AB1FF4"/>
    <w:rsid w:val="00AB2038"/>
    <w:rsid w:val="00AB280A"/>
    <w:rsid w:val="00AB2AF9"/>
    <w:rsid w:val="00AB2C4A"/>
    <w:rsid w:val="00AB2F6F"/>
    <w:rsid w:val="00AB38A4"/>
    <w:rsid w:val="00AB3AEE"/>
    <w:rsid w:val="00AB3C24"/>
    <w:rsid w:val="00AB43D7"/>
    <w:rsid w:val="00AB5031"/>
    <w:rsid w:val="00AB564D"/>
    <w:rsid w:val="00AB6213"/>
    <w:rsid w:val="00AB63B3"/>
    <w:rsid w:val="00AB6548"/>
    <w:rsid w:val="00AB6D91"/>
    <w:rsid w:val="00AB70D2"/>
    <w:rsid w:val="00AB7A56"/>
    <w:rsid w:val="00AB7B5E"/>
    <w:rsid w:val="00AB7CD0"/>
    <w:rsid w:val="00AB7D31"/>
    <w:rsid w:val="00AB7EA5"/>
    <w:rsid w:val="00AC0143"/>
    <w:rsid w:val="00AC06AC"/>
    <w:rsid w:val="00AC0F18"/>
    <w:rsid w:val="00AC0F20"/>
    <w:rsid w:val="00AC1350"/>
    <w:rsid w:val="00AC1CC1"/>
    <w:rsid w:val="00AC23E4"/>
    <w:rsid w:val="00AC2574"/>
    <w:rsid w:val="00AC2CF2"/>
    <w:rsid w:val="00AC2D0D"/>
    <w:rsid w:val="00AC35D2"/>
    <w:rsid w:val="00AC377B"/>
    <w:rsid w:val="00AC39F2"/>
    <w:rsid w:val="00AC3C33"/>
    <w:rsid w:val="00AC402E"/>
    <w:rsid w:val="00AC4170"/>
    <w:rsid w:val="00AC41FC"/>
    <w:rsid w:val="00AC45B3"/>
    <w:rsid w:val="00AC6B40"/>
    <w:rsid w:val="00AC6CC8"/>
    <w:rsid w:val="00AC722B"/>
    <w:rsid w:val="00AC7DCF"/>
    <w:rsid w:val="00AC7FCC"/>
    <w:rsid w:val="00AD045D"/>
    <w:rsid w:val="00AD04F7"/>
    <w:rsid w:val="00AD08F0"/>
    <w:rsid w:val="00AD1307"/>
    <w:rsid w:val="00AD15B4"/>
    <w:rsid w:val="00AD16C9"/>
    <w:rsid w:val="00AD16FD"/>
    <w:rsid w:val="00AD1938"/>
    <w:rsid w:val="00AD1A2C"/>
    <w:rsid w:val="00AD1B72"/>
    <w:rsid w:val="00AD1BB5"/>
    <w:rsid w:val="00AD1C24"/>
    <w:rsid w:val="00AD1D11"/>
    <w:rsid w:val="00AD1E99"/>
    <w:rsid w:val="00AD2219"/>
    <w:rsid w:val="00AD2369"/>
    <w:rsid w:val="00AD248C"/>
    <w:rsid w:val="00AD27E8"/>
    <w:rsid w:val="00AD2B78"/>
    <w:rsid w:val="00AD2C9B"/>
    <w:rsid w:val="00AD347F"/>
    <w:rsid w:val="00AD3D7D"/>
    <w:rsid w:val="00AD457D"/>
    <w:rsid w:val="00AD4CF5"/>
    <w:rsid w:val="00AD4E2F"/>
    <w:rsid w:val="00AD509E"/>
    <w:rsid w:val="00AD5115"/>
    <w:rsid w:val="00AD525C"/>
    <w:rsid w:val="00AD5382"/>
    <w:rsid w:val="00AD54BA"/>
    <w:rsid w:val="00AD5DED"/>
    <w:rsid w:val="00AD61DE"/>
    <w:rsid w:val="00AD6ACA"/>
    <w:rsid w:val="00AD6B0C"/>
    <w:rsid w:val="00AD6BAB"/>
    <w:rsid w:val="00AD6CF1"/>
    <w:rsid w:val="00AD6E39"/>
    <w:rsid w:val="00AD711D"/>
    <w:rsid w:val="00AD7149"/>
    <w:rsid w:val="00AD76F7"/>
    <w:rsid w:val="00AD78D9"/>
    <w:rsid w:val="00AD7F18"/>
    <w:rsid w:val="00AD7F2F"/>
    <w:rsid w:val="00AE046B"/>
    <w:rsid w:val="00AE0614"/>
    <w:rsid w:val="00AE07F7"/>
    <w:rsid w:val="00AE0D40"/>
    <w:rsid w:val="00AE16E9"/>
    <w:rsid w:val="00AE1A6F"/>
    <w:rsid w:val="00AE1E9C"/>
    <w:rsid w:val="00AE1FF7"/>
    <w:rsid w:val="00AE202C"/>
    <w:rsid w:val="00AE2989"/>
    <w:rsid w:val="00AE2AA4"/>
    <w:rsid w:val="00AE2CDC"/>
    <w:rsid w:val="00AE2E2B"/>
    <w:rsid w:val="00AE2E81"/>
    <w:rsid w:val="00AE2F01"/>
    <w:rsid w:val="00AE2F2F"/>
    <w:rsid w:val="00AE2F52"/>
    <w:rsid w:val="00AE30E2"/>
    <w:rsid w:val="00AE3154"/>
    <w:rsid w:val="00AE33D2"/>
    <w:rsid w:val="00AE34CA"/>
    <w:rsid w:val="00AE3903"/>
    <w:rsid w:val="00AE450F"/>
    <w:rsid w:val="00AE452A"/>
    <w:rsid w:val="00AE46D9"/>
    <w:rsid w:val="00AE49DE"/>
    <w:rsid w:val="00AE4E05"/>
    <w:rsid w:val="00AE5211"/>
    <w:rsid w:val="00AE5280"/>
    <w:rsid w:val="00AE537B"/>
    <w:rsid w:val="00AE54E1"/>
    <w:rsid w:val="00AE5580"/>
    <w:rsid w:val="00AE599B"/>
    <w:rsid w:val="00AE6495"/>
    <w:rsid w:val="00AE673E"/>
    <w:rsid w:val="00AF02F8"/>
    <w:rsid w:val="00AF03D4"/>
    <w:rsid w:val="00AF049D"/>
    <w:rsid w:val="00AF0A2D"/>
    <w:rsid w:val="00AF0B6B"/>
    <w:rsid w:val="00AF0BC3"/>
    <w:rsid w:val="00AF0BD4"/>
    <w:rsid w:val="00AF0F34"/>
    <w:rsid w:val="00AF173B"/>
    <w:rsid w:val="00AF1B87"/>
    <w:rsid w:val="00AF1BFA"/>
    <w:rsid w:val="00AF23F3"/>
    <w:rsid w:val="00AF2EF7"/>
    <w:rsid w:val="00AF30D7"/>
    <w:rsid w:val="00AF3857"/>
    <w:rsid w:val="00AF3B95"/>
    <w:rsid w:val="00AF3C1B"/>
    <w:rsid w:val="00AF3D10"/>
    <w:rsid w:val="00AF4034"/>
    <w:rsid w:val="00AF4213"/>
    <w:rsid w:val="00AF4231"/>
    <w:rsid w:val="00AF4C81"/>
    <w:rsid w:val="00AF4D7B"/>
    <w:rsid w:val="00AF4F31"/>
    <w:rsid w:val="00AF56EC"/>
    <w:rsid w:val="00AF675F"/>
    <w:rsid w:val="00AF7203"/>
    <w:rsid w:val="00AF7A22"/>
    <w:rsid w:val="00AF7E0B"/>
    <w:rsid w:val="00AF7E7B"/>
    <w:rsid w:val="00AF7FF3"/>
    <w:rsid w:val="00B00357"/>
    <w:rsid w:val="00B009C4"/>
    <w:rsid w:val="00B00D0A"/>
    <w:rsid w:val="00B015A1"/>
    <w:rsid w:val="00B01684"/>
    <w:rsid w:val="00B01EC6"/>
    <w:rsid w:val="00B0204E"/>
    <w:rsid w:val="00B0228D"/>
    <w:rsid w:val="00B022EA"/>
    <w:rsid w:val="00B0280F"/>
    <w:rsid w:val="00B02F2F"/>
    <w:rsid w:val="00B038BC"/>
    <w:rsid w:val="00B03D2E"/>
    <w:rsid w:val="00B03F56"/>
    <w:rsid w:val="00B04193"/>
    <w:rsid w:val="00B044E8"/>
    <w:rsid w:val="00B05297"/>
    <w:rsid w:val="00B055AE"/>
    <w:rsid w:val="00B058D9"/>
    <w:rsid w:val="00B05F5F"/>
    <w:rsid w:val="00B0621B"/>
    <w:rsid w:val="00B062A2"/>
    <w:rsid w:val="00B06FDC"/>
    <w:rsid w:val="00B0720A"/>
    <w:rsid w:val="00B07A5F"/>
    <w:rsid w:val="00B07B3E"/>
    <w:rsid w:val="00B07F12"/>
    <w:rsid w:val="00B07F40"/>
    <w:rsid w:val="00B1015C"/>
    <w:rsid w:val="00B10894"/>
    <w:rsid w:val="00B10F70"/>
    <w:rsid w:val="00B11A06"/>
    <w:rsid w:val="00B123F2"/>
    <w:rsid w:val="00B12401"/>
    <w:rsid w:val="00B126A6"/>
    <w:rsid w:val="00B12E57"/>
    <w:rsid w:val="00B130C3"/>
    <w:rsid w:val="00B131C1"/>
    <w:rsid w:val="00B1327A"/>
    <w:rsid w:val="00B13560"/>
    <w:rsid w:val="00B1387D"/>
    <w:rsid w:val="00B1394E"/>
    <w:rsid w:val="00B13F66"/>
    <w:rsid w:val="00B14548"/>
    <w:rsid w:val="00B14F0D"/>
    <w:rsid w:val="00B15324"/>
    <w:rsid w:val="00B15344"/>
    <w:rsid w:val="00B158EE"/>
    <w:rsid w:val="00B159F0"/>
    <w:rsid w:val="00B15CD6"/>
    <w:rsid w:val="00B162C8"/>
    <w:rsid w:val="00B16493"/>
    <w:rsid w:val="00B169A2"/>
    <w:rsid w:val="00B16A95"/>
    <w:rsid w:val="00B17003"/>
    <w:rsid w:val="00B1706F"/>
    <w:rsid w:val="00B172E5"/>
    <w:rsid w:val="00B17B48"/>
    <w:rsid w:val="00B17BBE"/>
    <w:rsid w:val="00B206CD"/>
    <w:rsid w:val="00B20CAD"/>
    <w:rsid w:val="00B2151C"/>
    <w:rsid w:val="00B2186C"/>
    <w:rsid w:val="00B218DF"/>
    <w:rsid w:val="00B21AE7"/>
    <w:rsid w:val="00B21C18"/>
    <w:rsid w:val="00B21D0A"/>
    <w:rsid w:val="00B21D12"/>
    <w:rsid w:val="00B21DF9"/>
    <w:rsid w:val="00B21F77"/>
    <w:rsid w:val="00B22443"/>
    <w:rsid w:val="00B22464"/>
    <w:rsid w:val="00B22739"/>
    <w:rsid w:val="00B23051"/>
    <w:rsid w:val="00B231EC"/>
    <w:rsid w:val="00B2374F"/>
    <w:rsid w:val="00B239CF"/>
    <w:rsid w:val="00B23D60"/>
    <w:rsid w:val="00B23F36"/>
    <w:rsid w:val="00B2426A"/>
    <w:rsid w:val="00B24291"/>
    <w:rsid w:val="00B244CB"/>
    <w:rsid w:val="00B2452C"/>
    <w:rsid w:val="00B2491A"/>
    <w:rsid w:val="00B24CA7"/>
    <w:rsid w:val="00B2501D"/>
    <w:rsid w:val="00B2541A"/>
    <w:rsid w:val="00B25BED"/>
    <w:rsid w:val="00B25C94"/>
    <w:rsid w:val="00B25DEE"/>
    <w:rsid w:val="00B262E9"/>
    <w:rsid w:val="00B26AF0"/>
    <w:rsid w:val="00B273C2"/>
    <w:rsid w:val="00B27400"/>
    <w:rsid w:val="00B27549"/>
    <w:rsid w:val="00B2764E"/>
    <w:rsid w:val="00B27804"/>
    <w:rsid w:val="00B279F5"/>
    <w:rsid w:val="00B27C04"/>
    <w:rsid w:val="00B27CB9"/>
    <w:rsid w:val="00B27DFD"/>
    <w:rsid w:val="00B301A7"/>
    <w:rsid w:val="00B3031D"/>
    <w:rsid w:val="00B303B9"/>
    <w:rsid w:val="00B30551"/>
    <w:rsid w:val="00B30890"/>
    <w:rsid w:val="00B309CE"/>
    <w:rsid w:val="00B30A3E"/>
    <w:rsid w:val="00B30BA7"/>
    <w:rsid w:val="00B30CB0"/>
    <w:rsid w:val="00B30F11"/>
    <w:rsid w:val="00B30F33"/>
    <w:rsid w:val="00B3113F"/>
    <w:rsid w:val="00B3156B"/>
    <w:rsid w:val="00B31D6D"/>
    <w:rsid w:val="00B31ED8"/>
    <w:rsid w:val="00B31EE0"/>
    <w:rsid w:val="00B31F7F"/>
    <w:rsid w:val="00B3286E"/>
    <w:rsid w:val="00B32C8D"/>
    <w:rsid w:val="00B33082"/>
    <w:rsid w:val="00B331F7"/>
    <w:rsid w:val="00B332B3"/>
    <w:rsid w:val="00B33866"/>
    <w:rsid w:val="00B33B1D"/>
    <w:rsid w:val="00B33FC9"/>
    <w:rsid w:val="00B341BA"/>
    <w:rsid w:val="00B3445F"/>
    <w:rsid w:val="00B34B9E"/>
    <w:rsid w:val="00B35216"/>
    <w:rsid w:val="00B35379"/>
    <w:rsid w:val="00B354F0"/>
    <w:rsid w:val="00B356C4"/>
    <w:rsid w:val="00B36E37"/>
    <w:rsid w:val="00B37F66"/>
    <w:rsid w:val="00B40171"/>
    <w:rsid w:val="00B403EE"/>
    <w:rsid w:val="00B40A5D"/>
    <w:rsid w:val="00B4100B"/>
    <w:rsid w:val="00B41065"/>
    <w:rsid w:val="00B41066"/>
    <w:rsid w:val="00B41311"/>
    <w:rsid w:val="00B413B5"/>
    <w:rsid w:val="00B41889"/>
    <w:rsid w:val="00B41B23"/>
    <w:rsid w:val="00B41F93"/>
    <w:rsid w:val="00B4233C"/>
    <w:rsid w:val="00B4256A"/>
    <w:rsid w:val="00B4276B"/>
    <w:rsid w:val="00B427CE"/>
    <w:rsid w:val="00B4339F"/>
    <w:rsid w:val="00B433B3"/>
    <w:rsid w:val="00B43484"/>
    <w:rsid w:val="00B43B23"/>
    <w:rsid w:val="00B43BB5"/>
    <w:rsid w:val="00B43CAD"/>
    <w:rsid w:val="00B44193"/>
    <w:rsid w:val="00B44C5E"/>
    <w:rsid w:val="00B44F0A"/>
    <w:rsid w:val="00B44F40"/>
    <w:rsid w:val="00B45149"/>
    <w:rsid w:val="00B45353"/>
    <w:rsid w:val="00B454B5"/>
    <w:rsid w:val="00B4599C"/>
    <w:rsid w:val="00B4655C"/>
    <w:rsid w:val="00B4685D"/>
    <w:rsid w:val="00B4692C"/>
    <w:rsid w:val="00B46BEB"/>
    <w:rsid w:val="00B46D58"/>
    <w:rsid w:val="00B47280"/>
    <w:rsid w:val="00B4738B"/>
    <w:rsid w:val="00B4741F"/>
    <w:rsid w:val="00B4746F"/>
    <w:rsid w:val="00B474BA"/>
    <w:rsid w:val="00B4754A"/>
    <w:rsid w:val="00B475FC"/>
    <w:rsid w:val="00B47704"/>
    <w:rsid w:val="00B47745"/>
    <w:rsid w:val="00B47847"/>
    <w:rsid w:val="00B47B22"/>
    <w:rsid w:val="00B47E0F"/>
    <w:rsid w:val="00B5035B"/>
    <w:rsid w:val="00B503B1"/>
    <w:rsid w:val="00B504CE"/>
    <w:rsid w:val="00B5072F"/>
    <w:rsid w:val="00B5101C"/>
    <w:rsid w:val="00B51088"/>
    <w:rsid w:val="00B516D7"/>
    <w:rsid w:val="00B51C6B"/>
    <w:rsid w:val="00B52007"/>
    <w:rsid w:val="00B52078"/>
    <w:rsid w:val="00B521F0"/>
    <w:rsid w:val="00B52620"/>
    <w:rsid w:val="00B5262F"/>
    <w:rsid w:val="00B52770"/>
    <w:rsid w:val="00B53103"/>
    <w:rsid w:val="00B5360F"/>
    <w:rsid w:val="00B536CC"/>
    <w:rsid w:val="00B53733"/>
    <w:rsid w:val="00B53B51"/>
    <w:rsid w:val="00B549B7"/>
    <w:rsid w:val="00B551BD"/>
    <w:rsid w:val="00B55BC9"/>
    <w:rsid w:val="00B55C46"/>
    <w:rsid w:val="00B55E52"/>
    <w:rsid w:val="00B56338"/>
    <w:rsid w:val="00B5644D"/>
    <w:rsid w:val="00B567EF"/>
    <w:rsid w:val="00B56883"/>
    <w:rsid w:val="00B568FA"/>
    <w:rsid w:val="00B56C3F"/>
    <w:rsid w:val="00B56DC4"/>
    <w:rsid w:val="00B56EFA"/>
    <w:rsid w:val="00B571FE"/>
    <w:rsid w:val="00B574CF"/>
    <w:rsid w:val="00B5766F"/>
    <w:rsid w:val="00B578D8"/>
    <w:rsid w:val="00B57F9E"/>
    <w:rsid w:val="00B60231"/>
    <w:rsid w:val="00B60C07"/>
    <w:rsid w:val="00B60DE5"/>
    <w:rsid w:val="00B60F77"/>
    <w:rsid w:val="00B60FAB"/>
    <w:rsid w:val="00B61089"/>
    <w:rsid w:val="00B615BA"/>
    <w:rsid w:val="00B6176A"/>
    <w:rsid w:val="00B618D7"/>
    <w:rsid w:val="00B62000"/>
    <w:rsid w:val="00B621E5"/>
    <w:rsid w:val="00B6250C"/>
    <w:rsid w:val="00B625ED"/>
    <w:rsid w:val="00B62895"/>
    <w:rsid w:val="00B629D5"/>
    <w:rsid w:val="00B62E11"/>
    <w:rsid w:val="00B63748"/>
    <w:rsid w:val="00B6377E"/>
    <w:rsid w:val="00B638FB"/>
    <w:rsid w:val="00B64861"/>
    <w:rsid w:val="00B653E0"/>
    <w:rsid w:val="00B654B0"/>
    <w:rsid w:val="00B65D91"/>
    <w:rsid w:val="00B65E18"/>
    <w:rsid w:val="00B66316"/>
    <w:rsid w:val="00B66734"/>
    <w:rsid w:val="00B669A8"/>
    <w:rsid w:val="00B66A48"/>
    <w:rsid w:val="00B66AC7"/>
    <w:rsid w:val="00B66AE1"/>
    <w:rsid w:val="00B66DF7"/>
    <w:rsid w:val="00B6704C"/>
    <w:rsid w:val="00B67080"/>
    <w:rsid w:val="00B67284"/>
    <w:rsid w:val="00B67497"/>
    <w:rsid w:val="00B6798F"/>
    <w:rsid w:val="00B679CE"/>
    <w:rsid w:val="00B67A5F"/>
    <w:rsid w:val="00B70329"/>
    <w:rsid w:val="00B7048D"/>
    <w:rsid w:val="00B70562"/>
    <w:rsid w:val="00B705A7"/>
    <w:rsid w:val="00B70A7C"/>
    <w:rsid w:val="00B70D95"/>
    <w:rsid w:val="00B71858"/>
    <w:rsid w:val="00B718A5"/>
    <w:rsid w:val="00B71923"/>
    <w:rsid w:val="00B71F55"/>
    <w:rsid w:val="00B720A7"/>
    <w:rsid w:val="00B720CE"/>
    <w:rsid w:val="00B72A42"/>
    <w:rsid w:val="00B72B51"/>
    <w:rsid w:val="00B72D44"/>
    <w:rsid w:val="00B730CC"/>
    <w:rsid w:val="00B7352F"/>
    <w:rsid w:val="00B737ED"/>
    <w:rsid w:val="00B7388E"/>
    <w:rsid w:val="00B73CC5"/>
    <w:rsid w:val="00B73F54"/>
    <w:rsid w:val="00B74356"/>
    <w:rsid w:val="00B7444E"/>
    <w:rsid w:val="00B7458D"/>
    <w:rsid w:val="00B74B79"/>
    <w:rsid w:val="00B75083"/>
    <w:rsid w:val="00B755EF"/>
    <w:rsid w:val="00B75B4E"/>
    <w:rsid w:val="00B75BA5"/>
    <w:rsid w:val="00B76355"/>
    <w:rsid w:val="00B7675F"/>
    <w:rsid w:val="00B76E8D"/>
    <w:rsid w:val="00B77416"/>
    <w:rsid w:val="00B775CF"/>
    <w:rsid w:val="00B8097A"/>
    <w:rsid w:val="00B809D6"/>
    <w:rsid w:val="00B812C1"/>
    <w:rsid w:val="00B81793"/>
    <w:rsid w:val="00B819A8"/>
    <w:rsid w:val="00B81E94"/>
    <w:rsid w:val="00B81FD3"/>
    <w:rsid w:val="00B82E30"/>
    <w:rsid w:val="00B82F1C"/>
    <w:rsid w:val="00B83334"/>
    <w:rsid w:val="00B83490"/>
    <w:rsid w:val="00B835B9"/>
    <w:rsid w:val="00B836D7"/>
    <w:rsid w:val="00B83AA5"/>
    <w:rsid w:val="00B83EFC"/>
    <w:rsid w:val="00B8455F"/>
    <w:rsid w:val="00B84955"/>
    <w:rsid w:val="00B84ADB"/>
    <w:rsid w:val="00B85DB6"/>
    <w:rsid w:val="00B861F9"/>
    <w:rsid w:val="00B86A70"/>
    <w:rsid w:val="00B86C27"/>
    <w:rsid w:val="00B86D52"/>
    <w:rsid w:val="00B86EF7"/>
    <w:rsid w:val="00B86FE7"/>
    <w:rsid w:val="00B87431"/>
    <w:rsid w:val="00B8756D"/>
    <w:rsid w:val="00B87707"/>
    <w:rsid w:val="00B87991"/>
    <w:rsid w:val="00B90074"/>
    <w:rsid w:val="00B90CF0"/>
    <w:rsid w:val="00B91508"/>
    <w:rsid w:val="00B9195B"/>
    <w:rsid w:val="00B91A52"/>
    <w:rsid w:val="00B91D6A"/>
    <w:rsid w:val="00B9208D"/>
    <w:rsid w:val="00B92722"/>
    <w:rsid w:val="00B92B44"/>
    <w:rsid w:val="00B92CCF"/>
    <w:rsid w:val="00B92EEF"/>
    <w:rsid w:val="00B930A6"/>
    <w:rsid w:val="00B934CA"/>
    <w:rsid w:val="00B936DC"/>
    <w:rsid w:val="00B938DA"/>
    <w:rsid w:val="00B93BDB"/>
    <w:rsid w:val="00B94A6B"/>
    <w:rsid w:val="00B94B0C"/>
    <w:rsid w:val="00B9528D"/>
    <w:rsid w:val="00B95723"/>
    <w:rsid w:val="00B957DE"/>
    <w:rsid w:val="00B962A3"/>
    <w:rsid w:val="00B96A34"/>
    <w:rsid w:val="00B96FC2"/>
    <w:rsid w:val="00B9709F"/>
    <w:rsid w:val="00B9769C"/>
    <w:rsid w:val="00B97A25"/>
    <w:rsid w:val="00B97CC4"/>
    <w:rsid w:val="00B97E55"/>
    <w:rsid w:val="00BA0011"/>
    <w:rsid w:val="00BA0193"/>
    <w:rsid w:val="00BA0546"/>
    <w:rsid w:val="00BA06E1"/>
    <w:rsid w:val="00BA0935"/>
    <w:rsid w:val="00BA0B74"/>
    <w:rsid w:val="00BA0E5B"/>
    <w:rsid w:val="00BA115E"/>
    <w:rsid w:val="00BA1B0A"/>
    <w:rsid w:val="00BA1F8E"/>
    <w:rsid w:val="00BA24FC"/>
    <w:rsid w:val="00BA2ADD"/>
    <w:rsid w:val="00BA3039"/>
    <w:rsid w:val="00BA335A"/>
    <w:rsid w:val="00BA3365"/>
    <w:rsid w:val="00BA3DC8"/>
    <w:rsid w:val="00BA3F39"/>
    <w:rsid w:val="00BA4462"/>
    <w:rsid w:val="00BA4575"/>
    <w:rsid w:val="00BA4778"/>
    <w:rsid w:val="00BA491D"/>
    <w:rsid w:val="00BA4D2A"/>
    <w:rsid w:val="00BA5F21"/>
    <w:rsid w:val="00BA6A38"/>
    <w:rsid w:val="00BA739A"/>
    <w:rsid w:val="00BA74C1"/>
    <w:rsid w:val="00BA7749"/>
    <w:rsid w:val="00BA7EA4"/>
    <w:rsid w:val="00BB01FE"/>
    <w:rsid w:val="00BB033F"/>
    <w:rsid w:val="00BB0751"/>
    <w:rsid w:val="00BB082B"/>
    <w:rsid w:val="00BB0AB3"/>
    <w:rsid w:val="00BB0C8E"/>
    <w:rsid w:val="00BB0F5C"/>
    <w:rsid w:val="00BB1B12"/>
    <w:rsid w:val="00BB1D55"/>
    <w:rsid w:val="00BB1EBD"/>
    <w:rsid w:val="00BB2175"/>
    <w:rsid w:val="00BB2406"/>
    <w:rsid w:val="00BB2BAD"/>
    <w:rsid w:val="00BB3043"/>
    <w:rsid w:val="00BB38AF"/>
    <w:rsid w:val="00BB3D5C"/>
    <w:rsid w:val="00BB3E1C"/>
    <w:rsid w:val="00BB3F0A"/>
    <w:rsid w:val="00BB4241"/>
    <w:rsid w:val="00BB4771"/>
    <w:rsid w:val="00BB51BE"/>
    <w:rsid w:val="00BB51DA"/>
    <w:rsid w:val="00BB5726"/>
    <w:rsid w:val="00BB5838"/>
    <w:rsid w:val="00BB5B17"/>
    <w:rsid w:val="00BB5E48"/>
    <w:rsid w:val="00BB6186"/>
    <w:rsid w:val="00BB6450"/>
    <w:rsid w:val="00BB7390"/>
    <w:rsid w:val="00BB745A"/>
    <w:rsid w:val="00BB75DC"/>
    <w:rsid w:val="00BB766C"/>
    <w:rsid w:val="00BB77A9"/>
    <w:rsid w:val="00BB7944"/>
    <w:rsid w:val="00BC0212"/>
    <w:rsid w:val="00BC048A"/>
    <w:rsid w:val="00BC08DF"/>
    <w:rsid w:val="00BC0988"/>
    <w:rsid w:val="00BC09D2"/>
    <w:rsid w:val="00BC145A"/>
    <w:rsid w:val="00BC1A6F"/>
    <w:rsid w:val="00BC21C0"/>
    <w:rsid w:val="00BC280A"/>
    <w:rsid w:val="00BC30B5"/>
    <w:rsid w:val="00BC3155"/>
    <w:rsid w:val="00BC32A9"/>
    <w:rsid w:val="00BC3593"/>
    <w:rsid w:val="00BC3FC5"/>
    <w:rsid w:val="00BC3FEC"/>
    <w:rsid w:val="00BC428B"/>
    <w:rsid w:val="00BC4452"/>
    <w:rsid w:val="00BC47E6"/>
    <w:rsid w:val="00BC4874"/>
    <w:rsid w:val="00BC492F"/>
    <w:rsid w:val="00BC50B4"/>
    <w:rsid w:val="00BC5712"/>
    <w:rsid w:val="00BC5719"/>
    <w:rsid w:val="00BC5C06"/>
    <w:rsid w:val="00BC603D"/>
    <w:rsid w:val="00BC63A0"/>
    <w:rsid w:val="00BC6642"/>
    <w:rsid w:val="00BC6BD9"/>
    <w:rsid w:val="00BC6BDC"/>
    <w:rsid w:val="00BC6C70"/>
    <w:rsid w:val="00BC6E8A"/>
    <w:rsid w:val="00BC71C4"/>
    <w:rsid w:val="00BC747A"/>
    <w:rsid w:val="00BC7498"/>
    <w:rsid w:val="00BC75E8"/>
    <w:rsid w:val="00BC770D"/>
    <w:rsid w:val="00BC7A59"/>
    <w:rsid w:val="00BD05EE"/>
    <w:rsid w:val="00BD07AE"/>
    <w:rsid w:val="00BD0955"/>
    <w:rsid w:val="00BD0D4B"/>
    <w:rsid w:val="00BD12A0"/>
    <w:rsid w:val="00BD2207"/>
    <w:rsid w:val="00BD23BF"/>
    <w:rsid w:val="00BD23C5"/>
    <w:rsid w:val="00BD2733"/>
    <w:rsid w:val="00BD298C"/>
    <w:rsid w:val="00BD2B62"/>
    <w:rsid w:val="00BD30DD"/>
    <w:rsid w:val="00BD310C"/>
    <w:rsid w:val="00BD31B3"/>
    <w:rsid w:val="00BD342F"/>
    <w:rsid w:val="00BD365F"/>
    <w:rsid w:val="00BD389C"/>
    <w:rsid w:val="00BD39F6"/>
    <w:rsid w:val="00BD3A3E"/>
    <w:rsid w:val="00BD3AE1"/>
    <w:rsid w:val="00BD3CAD"/>
    <w:rsid w:val="00BD452C"/>
    <w:rsid w:val="00BD4701"/>
    <w:rsid w:val="00BD4827"/>
    <w:rsid w:val="00BD491A"/>
    <w:rsid w:val="00BD4A59"/>
    <w:rsid w:val="00BD551D"/>
    <w:rsid w:val="00BD560D"/>
    <w:rsid w:val="00BD5659"/>
    <w:rsid w:val="00BD568F"/>
    <w:rsid w:val="00BD586D"/>
    <w:rsid w:val="00BD5AD4"/>
    <w:rsid w:val="00BD61C8"/>
    <w:rsid w:val="00BD61D6"/>
    <w:rsid w:val="00BD6B04"/>
    <w:rsid w:val="00BD6B72"/>
    <w:rsid w:val="00BD7282"/>
    <w:rsid w:val="00BD75EB"/>
    <w:rsid w:val="00BD7702"/>
    <w:rsid w:val="00BD7AFD"/>
    <w:rsid w:val="00BD7EFF"/>
    <w:rsid w:val="00BE01F1"/>
    <w:rsid w:val="00BE037C"/>
    <w:rsid w:val="00BE045D"/>
    <w:rsid w:val="00BE0641"/>
    <w:rsid w:val="00BE0983"/>
    <w:rsid w:val="00BE0AAB"/>
    <w:rsid w:val="00BE0D9A"/>
    <w:rsid w:val="00BE10A2"/>
    <w:rsid w:val="00BE1667"/>
    <w:rsid w:val="00BE166C"/>
    <w:rsid w:val="00BE1940"/>
    <w:rsid w:val="00BE1EB7"/>
    <w:rsid w:val="00BE2019"/>
    <w:rsid w:val="00BE2729"/>
    <w:rsid w:val="00BE2887"/>
    <w:rsid w:val="00BE2D9F"/>
    <w:rsid w:val="00BE2EFA"/>
    <w:rsid w:val="00BE2FCD"/>
    <w:rsid w:val="00BE36B8"/>
    <w:rsid w:val="00BE39BC"/>
    <w:rsid w:val="00BE3DD7"/>
    <w:rsid w:val="00BE4CEE"/>
    <w:rsid w:val="00BE4FAE"/>
    <w:rsid w:val="00BE5777"/>
    <w:rsid w:val="00BE5D53"/>
    <w:rsid w:val="00BE64A6"/>
    <w:rsid w:val="00BE65EE"/>
    <w:rsid w:val="00BE6603"/>
    <w:rsid w:val="00BE6D21"/>
    <w:rsid w:val="00BE6E3C"/>
    <w:rsid w:val="00BE741E"/>
    <w:rsid w:val="00BE79A9"/>
    <w:rsid w:val="00BE7E3E"/>
    <w:rsid w:val="00BE7FCE"/>
    <w:rsid w:val="00BF061B"/>
    <w:rsid w:val="00BF079F"/>
    <w:rsid w:val="00BF07B5"/>
    <w:rsid w:val="00BF07D4"/>
    <w:rsid w:val="00BF07E4"/>
    <w:rsid w:val="00BF08BC"/>
    <w:rsid w:val="00BF0E3D"/>
    <w:rsid w:val="00BF1673"/>
    <w:rsid w:val="00BF19CF"/>
    <w:rsid w:val="00BF19E3"/>
    <w:rsid w:val="00BF2936"/>
    <w:rsid w:val="00BF2B58"/>
    <w:rsid w:val="00BF2C0C"/>
    <w:rsid w:val="00BF2DBE"/>
    <w:rsid w:val="00BF31BD"/>
    <w:rsid w:val="00BF3AE4"/>
    <w:rsid w:val="00BF402D"/>
    <w:rsid w:val="00BF4E7B"/>
    <w:rsid w:val="00BF537E"/>
    <w:rsid w:val="00BF54FA"/>
    <w:rsid w:val="00BF54FD"/>
    <w:rsid w:val="00BF5AD5"/>
    <w:rsid w:val="00BF5B21"/>
    <w:rsid w:val="00BF5F63"/>
    <w:rsid w:val="00BF60FD"/>
    <w:rsid w:val="00BF6239"/>
    <w:rsid w:val="00BF66F7"/>
    <w:rsid w:val="00BF6759"/>
    <w:rsid w:val="00BF6F80"/>
    <w:rsid w:val="00BF6FEB"/>
    <w:rsid w:val="00BF75FF"/>
    <w:rsid w:val="00BF7EF8"/>
    <w:rsid w:val="00C006B9"/>
    <w:rsid w:val="00C00FB4"/>
    <w:rsid w:val="00C01188"/>
    <w:rsid w:val="00C01460"/>
    <w:rsid w:val="00C01697"/>
    <w:rsid w:val="00C018BB"/>
    <w:rsid w:val="00C01D67"/>
    <w:rsid w:val="00C020B4"/>
    <w:rsid w:val="00C0240B"/>
    <w:rsid w:val="00C02477"/>
    <w:rsid w:val="00C02B5D"/>
    <w:rsid w:val="00C031E5"/>
    <w:rsid w:val="00C03295"/>
    <w:rsid w:val="00C038B1"/>
    <w:rsid w:val="00C03A9A"/>
    <w:rsid w:val="00C03BCB"/>
    <w:rsid w:val="00C04374"/>
    <w:rsid w:val="00C043BE"/>
    <w:rsid w:val="00C0464C"/>
    <w:rsid w:val="00C046B9"/>
    <w:rsid w:val="00C04E0D"/>
    <w:rsid w:val="00C055BE"/>
    <w:rsid w:val="00C057D2"/>
    <w:rsid w:val="00C05CFE"/>
    <w:rsid w:val="00C05DF9"/>
    <w:rsid w:val="00C05E82"/>
    <w:rsid w:val="00C06317"/>
    <w:rsid w:val="00C06392"/>
    <w:rsid w:val="00C066BE"/>
    <w:rsid w:val="00C068C0"/>
    <w:rsid w:val="00C07DAB"/>
    <w:rsid w:val="00C1005E"/>
    <w:rsid w:val="00C103E0"/>
    <w:rsid w:val="00C1052D"/>
    <w:rsid w:val="00C10859"/>
    <w:rsid w:val="00C10EB7"/>
    <w:rsid w:val="00C1159D"/>
    <w:rsid w:val="00C115BA"/>
    <w:rsid w:val="00C11BF7"/>
    <w:rsid w:val="00C12222"/>
    <w:rsid w:val="00C12E27"/>
    <w:rsid w:val="00C12E58"/>
    <w:rsid w:val="00C1343C"/>
    <w:rsid w:val="00C13DF4"/>
    <w:rsid w:val="00C14154"/>
    <w:rsid w:val="00C144D8"/>
    <w:rsid w:val="00C14566"/>
    <w:rsid w:val="00C146E9"/>
    <w:rsid w:val="00C15523"/>
    <w:rsid w:val="00C15659"/>
    <w:rsid w:val="00C156F2"/>
    <w:rsid w:val="00C15FF1"/>
    <w:rsid w:val="00C161DB"/>
    <w:rsid w:val="00C16901"/>
    <w:rsid w:val="00C16AFC"/>
    <w:rsid w:val="00C176FA"/>
    <w:rsid w:val="00C17CC7"/>
    <w:rsid w:val="00C17F4B"/>
    <w:rsid w:val="00C17FF3"/>
    <w:rsid w:val="00C2064C"/>
    <w:rsid w:val="00C20D23"/>
    <w:rsid w:val="00C20E3F"/>
    <w:rsid w:val="00C20EF7"/>
    <w:rsid w:val="00C21169"/>
    <w:rsid w:val="00C2123D"/>
    <w:rsid w:val="00C215B7"/>
    <w:rsid w:val="00C215C1"/>
    <w:rsid w:val="00C217E1"/>
    <w:rsid w:val="00C21E97"/>
    <w:rsid w:val="00C22660"/>
    <w:rsid w:val="00C22B2E"/>
    <w:rsid w:val="00C22B7D"/>
    <w:rsid w:val="00C22BCA"/>
    <w:rsid w:val="00C22DA9"/>
    <w:rsid w:val="00C23A5F"/>
    <w:rsid w:val="00C23D87"/>
    <w:rsid w:val="00C23FA5"/>
    <w:rsid w:val="00C242F2"/>
    <w:rsid w:val="00C2485A"/>
    <w:rsid w:val="00C25082"/>
    <w:rsid w:val="00C25659"/>
    <w:rsid w:val="00C25C82"/>
    <w:rsid w:val="00C25F82"/>
    <w:rsid w:val="00C25FAB"/>
    <w:rsid w:val="00C260E4"/>
    <w:rsid w:val="00C261BE"/>
    <w:rsid w:val="00C26289"/>
    <w:rsid w:val="00C262A8"/>
    <w:rsid w:val="00C266B1"/>
    <w:rsid w:val="00C266EE"/>
    <w:rsid w:val="00C26B20"/>
    <w:rsid w:val="00C26BB0"/>
    <w:rsid w:val="00C26D77"/>
    <w:rsid w:val="00C26F4E"/>
    <w:rsid w:val="00C270F3"/>
    <w:rsid w:val="00C2738B"/>
    <w:rsid w:val="00C27415"/>
    <w:rsid w:val="00C2795B"/>
    <w:rsid w:val="00C27D4F"/>
    <w:rsid w:val="00C27DCD"/>
    <w:rsid w:val="00C304DE"/>
    <w:rsid w:val="00C3079F"/>
    <w:rsid w:val="00C309C6"/>
    <w:rsid w:val="00C30A83"/>
    <w:rsid w:val="00C30FBD"/>
    <w:rsid w:val="00C31384"/>
    <w:rsid w:val="00C31430"/>
    <w:rsid w:val="00C3153C"/>
    <w:rsid w:val="00C31A32"/>
    <w:rsid w:val="00C31ABD"/>
    <w:rsid w:val="00C31B9E"/>
    <w:rsid w:val="00C31C2A"/>
    <w:rsid w:val="00C31E80"/>
    <w:rsid w:val="00C320B7"/>
    <w:rsid w:val="00C32127"/>
    <w:rsid w:val="00C32209"/>
    <w:rsid w:val="00C32269"/>
    <w:rsid w:val="00C3299C"/>
    <w:rsid w:val="00C32A2B"/>
    <w:rsid w:val="00C32DCB"/>
    <w:rsid w:val="00C32DFA"/>
    <w:rsid w:val="00C3364E"/>
    <w:rsid w:val="00C33939"/>
    <w:rsid w:val="00C33C6E"/>
    <w:rsid w:val="00C34009"/>
    <w:rsid w:val="00C34275"/>
    <w:rsid w:val="00C34702"/>
    <w:rsid w:val="00C347F6"/>
    <w:rsid w:val="00C349B0"/>
    <w:rsid w:val="00C34EB0"/>
    <w:rsid w:val="00C34FC2"/>
    <w:rsid w:val="00C35237"/>
    <w:rsid w:val="00C354C1"/>
    <w:rsid w:val="00C35746"/>
    <w:rsid w:val="00C359E1"/>
    <w:rsid w:val="00C35C2E"/>
    <w:rsid w:val="00C35F78"/>
    <w:rsid w:val="00C36313"/>
    <w:rsid w:val="00C366AA"/>
    <w:rsid w:val="00C368BD"/>
    <w:rsid w:val="00C36958"/>
    <w:rsid w:val="00C36DB6"/>
    <w:rsid w:val="00C36E2B"/>
    <w:rsid w:val="00C3700C"/>
    <w:rsid w:val="00C4062D"/>
    <w:rsid w:val="00C40BBC"/>
    <w:rsid w:val="00C41341"/>
    <w:rsid w:val="00C41396"/>
    <w:rsid w:val="00C41866"/>
    <w:rsid w:val="00C4192C"/>
    <w:rsid w:val="00C41A44"/>
    <w:rsid w:val="00C41FB4"/>
    <w:rsid w:val="00C4208D"/>
    <w:rsid w:val="00C42270"/>
    <w:rsid w:val="00C424B5"/>
    <w:rsid w:val="00C42DDE"/>
    <w:rsid w:val="00C4350C"/>
    <w:rsid w:val="00C43840"/>
    <w:rsid w:val="00C438B5"/>
    <w:rsid w:val="00C43B49"/>
    <w:rsid w:val="00C43BC3"/>
    <w:rsid w:val="00C43EFE"/>
    <w:rsid w:val="00C4415C"/>
    <w:rsid w:val="00C44189"/>
    <w:rsid w:val="00C444AB"/>
    <w:rsid w:val="00C4516B"/>
    <w:rsid w:val="00C45231"/>
    <w:rsid w:val="00C452D3"/>
    <w:rsid w:val="00C455E0"/>
    <w:rsid w:val="00C46278"/>
    <w:rsid w:val="00C4778D"/>
    <w:rsid w:val="00C50049"/>
    <w:rsid w:val="00C50148"/>
    <w:rsid w:val="00C506F8"/>
    <w:rsid w:val="00C5098D"/>
    <w:rsid w:val="00C50A17"/>
    <w:rsid w:val="00C50BE3"/>
    <w:rsid w:val="00C51037"/>
    <w:rsid w:val="00C510E7"/>
    <w:rsid w:val="00C514C7"/>
    <w:rsid w:val="00C518F0"/>
    <w:rsid w:val="00C5218F"/>
    <w:rsid w:val="00C52935"/>
    <w:rsid w:val="00C52C60"/>
    <w:rsid w:val="00C53426"/>
    <w:rsid w:val="00C53817"/>
    <w:rsid w:val="00C53BE5"/>
    <w:rsid w:val="00C541D7"/>
    <w:rsid w:val="00C546A0"/>
    <w:rsid w:val="00C546B5"/>
    <w:rsid w:val="00C54DAE"/>
    <w:rsid w:val="00C55707"/>
    <w:rsid w:val="00C55D87"/>
    <w:rsid w:val="00C55E2A"/>
    <w:rsid w:val="00C55F00"/>
    <w:rsid w:val="00C55F84"/>
    <w:rsid w:val="00C560E4"/>
    <w:rsid w:val="00C56151"/>
    <w:rsid w:val="00C5626B"/>
    <w:rsid w:val="00C56270"/>
    <w:rsid w:val="00C5653B"/>
    <w:rsid w:val="00C5675E"/>
    <w:rsid w:val="00C56ABB"/>
    <w:rsid w:val="00C56ADC"/>
    <w:rsid w:val="00C56F7B"/>
    <w:rsid w:val="00C57207"/>
    <w:rsid w:val="00C574B9"/>
    <w:rsid w:val="00C57899"/>
    <w:rsid w:val="00C57AB3"/>
    <w:rsid w:val="00C57AFA"/>
    <w:rsid w:val="00C57CCC"/>
    <w:rsid w:val="00C60A6C"/>
    <w:rsid w:val="00C60BA4"/>
    <w:rsid w:val="00C60D5D"/>
    <w:rsid w:val="00C61358"/>
    <w:rsid w:val="00C61382"/>
    <w:rsid w:val="00C61460"/>
    <w:rsid w:val="00C614EB"/>
    <w:rsid w:val="00C61783"/>
    <w:rsid w:val="00C619A2"/>
    <w:rsid w:val="00C61AF7"/>
    <w:rsid w:val="00C62579"/>
    <w:rsid w:val="00C6272E"/>
    <w:rsid w:val="00C62D04"/>
    <w:rsid w:val="00C62E2D"/>
    <w:rsid w:val="00C6312E"/>
    <w:rsid w:val="00C6375F"/>
    <w:rsid w:val="00C63A98"/>
    <w:rsid w:val="00C64212"/>
    <w:rsid w:val="00C646AC"/>
    <w:rsid w:val="00C647AD"/>
    <w:rsid w:val="00C647F3"/>
    <w:rsid w:val="00C64A26"/>
    <w:rsid w:val="00C64C1C"/>
    <w:rsid w:val="00C64DF4"/>
    <w:rsid w:val="00C64DF7"/>
    <w:rsid w:val="00C64FAF"/>
    <w:rsid w:val="00C65101"/>
    <w:rsid w:val="00C656C6"/>
    <w:rsid w:val="00C65B6D"/>
    <w:rsid w:val="00C65BC7"/>
    <w:rsid w:val="00C65C9D"/>
    <w:rsid w:val="00C661A7"/>
    <w:rsid w:val="00C6626A"/>
    <w:rsid w:val="00C6626F"/>
    <w:rsid w:val="00C66600"/>
    <w:rsid w:val="00C669D8"/>
    <w:rsid w:val="00C66B18"/>
    <w:rsid w:val="00C67222"/>
    <w:rsid w:val="00C67362"/>
    <w:rsid w:val="00C70734"/>
    <w:rsid w:val="00C708B7"/>
    <w:rsid w:val="00C70F29"/>
    <w:rsid w:val="00C712FE"/>
    <w:rsid w:val="00C7161E"/>
    <w:rsid w:val="00C71A92"/>
    <w:rsid w:val="00C72B1D"/>
    <w:rsid w:val="00C72B61"/>
    <w:rsid w:val="00C72F90"/>
    <w:rsid w:val="00C73905"/>
    <w:rsid w:val="00C7391E"/>
    <w:rsid w:val="00C73D23"/>
    <w:rsid w:val="00C73DA7"/>
    <w:rsid w:val="00C74440"/>
    <w:rsid w:val="00C746D6"/>
    <w:rsid w:val="00C746E0"/>
    <w:rsid w:val="00C747B3"/>
    <w:rsid w:val="00C75318"/>
    <w:rsid w:val="00C75BBA"/>
    <w:rsid w:val="00C75F2A"/>
    <w:rsid w:val="00C76A62"/>
    <w:rsid w:val="00C76E4D"/>
    <w:rsid w:val="00C773A2"/>
    <w:rsid w:val="00C77404"/>
    <w:rsid w:val="00C777B0"/>
    <w:rsid w:val="00C778CC"/>
    <w:rsid w:val="00C77E40"/>
    <w:rsid w:val="00C80013"/>
    <w:rsid w:val="00C800CA"/>
    <w:rsid w:val="00C80277"/>
    <w:rsid w:val="00C80437"/>
    <w:rsid w:val="00C8062F"/>
    <w:rsid w:val="00C80735"/>
    <w:rsid w:val="00C80B08"/>
    <w:rsid w:val="00C80DBE"/>
    <w:rsid w:val="00C813EC"/>
    <w:rsid w:val="00C81EA4"/>
    <w:rsid w:val="00C81FF0"/>
    <w:rsid w:val="00C82451"/>
    <w:rsid w:val="00C825E5"/>
    <w:rsid w:val="00C829A5"/>
    <w:rsid w:val="00C83B18"/>
    <w:rsid w:val="00C83CE6"/>
    <w:rsid w:val="00C83D11"/>
    <w:rsid w:val="00C83DE5"/>
    <w:rsid w:val="00C841CD"/>
    <w:rsid w:val="00C84AF5"/>
    <w:rsid w:val="00C84FE0"/>
    <w:rsid w:val="00C854B7"/>
    <w:rsid w:val="00C85688"/>
    <w:rsid w:val="00C858EF"/>
    <w:rsid w:val="00C85BBC"/>
    <w:rsid w:val="00C85E3A"/>
    <w:rsid w:val="00C863A2"/>
    <w:rsid w:val="00C8655F"/>
    <w:rsid w:val="00C86CC2"/>
    <w:rsid w:val="00C86FA8"/>
    <w:rsid w:val="00C870E0"/>
    <w:rsid w:val="00C878FB"/>
    <w:rsid w:val="00C90196"/>
    <w:rsid w:val="00C9090F"/>
    <w:rsid w:val="00C90ABE"/>
    <w:rsid w:val="00C90B33"/>
    <w:rsid w:val="00C91484"/>
    <w:rsid w:val="00C915BA"/>
    <w:rsid w:val="00C921C8"/>
    <w:rsid w:val="00C92374"/>
    <w:rsid w:val="00C92388"/>
    <w:rsid w:val="00C924DA"/>
    <w:rsid w:val="00C92E03"/>
    <w:rsid w:val="00C936CA"/>
    <w:rsid w:val="00C93799"/>
    <w:rsid w:val="00C93B79"/>
    <w:rsid w:val="00C93C0E"/>
    <w:rsid w:val="00C93EED"/>
    <w:rsid w:val="00C93F2B"/>
    <w:rsid w:val="00C94305"/>
    <w:rsid w:val="00C94565"/>
    <w:rsid w:val="00C945B0"/>
    <w:rsid w:val="00C94A5F"/>
    <w:rsid w:val="00C958C5"/>
    <w:rsid w:val="00C95CAB"/>
    <w:rsid w:val="00C95D35"/>
    <w:rsid w:val="00C95FE5"/>
    <w:rsid w:val="00C96226"/>
    <w:rsid w:val="00C96919"/>
    <w:rsid w:val="00C96A1B"/>
    <w:rsid w:val="00C96A7A"/>
    <w:rsid w:val="00C970A8"/>
    <w:rsid w:val="00C972B8"/>
    <w:rsid w:val="00C974DB"/>
    <w:rsid w:val="00C97638"/>
    <w:rsid w:val="00C978C6"/>
    <w:rsid w:val="00C97EA0"/>
    <w:rsid w:val="00CA03D6"/>
    <w:rsid w:val="00CA06F1"/>
    <w:rsid w:val="00CA09E9"/>
    <w:rsid w:val="00CA0B05"/>
    <w:rsid w:val="00CA100D"/>
    <w:rsid w:val="00CA129B"/>
    <w:rsid w:val="00CA13F5"/>
    <w:rsid w:val="00CA173D"/>
    <w:rsid w:val="00CA1874"/>
    <w:rsid w:val="00CA1AA8"/>
    <w:rsid w:val="00CA2008"/>
    <w:rsid w:val="00CA20D2"/>
    <w:rsid w:val="00CA233A"/>
    <w:rsid w:val="00CA2465"/>
    <w:rsid w:val="00CA2915"/>
    <w:rsid w:val="00CA2A04"/>
    <w:rsid w:val="00CA2AAF"/>
    <w:rsid w:val="00CA2E36"/>
    <w:rsid w:val="00CA2E74"/>
    <w:rsid w:val="00CA32DC"/>
    <w:rsid w:val="00CA39BC"/>
    <w:rsid w:val="00CA3FBF"/>
    <w:rsid w:val="00CA407D"/>
    <w:rsid w:val="00CA40A6"/>
    <w:rsid w:val="00CA46AA"/>
    <w:rsid w:val="00CA5B75"/>
    <w:rsid w:val="00CA63E1"/>
    <w:rsid w:val="00CA63FC"/>
    <w:rsid w:val="00CA6429"/>
    <w:rsid w:val="00CA702D"/>
    <w:rsid w:val="00CA7967"/>
    <w:rsid w:val="00CB008C"/>
    <w:rsid w:val="00CB0AE2"/>
    <w:rsid w:val="00CB0D54"/>
    <w:rsid w:val="00CB1262"/>
    <w:rsid w:val="00CB1536"/>
    <w:rsid w:val="00CB1AF9"/>
    <w:rsid w:val="00CB1FEE"/>
    <w:rsid w:val="00CB2931"/>
    <w:rsid w:val="00CB2BE9"/>
    <w:rsid w:val="00CB30FD"/>
    <w:rsid w:val="00CB3476"/>
    <w:rsid w:val="00CB3B67"/>
    <w:rsid w:val="00CB41A2"/>
    <w:rsid w:val="00CB432E"/>
    <w:rsid w:val="00CB441A"/>
    <w:rsid w:val="00CB4436"/>
    <w:rsid w:val="00CB4C60"/>
    <w:rsid w:val="00CB4DAC"/>
    <w:rsid w:val="00CB5369"/>
    <w:rsid w:val="00CB538B"/>
    <w:rsid w:val="00CB569F"/>
    <w:rsid w:val="00CB56BE"/>
    <w:rsid w:val="00CB5788"/>
    <w:rsid w:val="00CB5A1E"/>
    <w:rsid w:val="00CB5A6C"/>
    <w:rsid w:val="00CB5B5F"/>
    <w:rsid w:val="00CB6889"/>
    <w:rsid w:val="00CB69C6"/>
    <w:rsid w:val="00CB6E39"/>
    <w:rsid w:val="00CB6EF6"/>
    <w:rsid w:val="00CB7252"/>
    <w:rsid w:val="00CB779D"/>
    <w:rsid w:val="00CB77FC"/>
    <w:rsid w:val="00CB7DA6"/>
    <w:rsid w:val="00CC00C6"/>
    <w:rsid w:val="00CC02D9"/>
    <w:rsid w:val="00CC039F"/>
    <w:rsid w:val="00CC05F3"/>
    <w:rsid w:val="00CC0A1A"/>
    <w:rsid w:val="00CC0D45"/>
    <w:rsid w:val="00CC0D52"/>
    <w:rsid w:val="00CC0F2C"/>
    <w:rsid w:val="00CC1BA4"/>
    <w:rsid w:val="00CC1E5A"/>
    <w:rsid w:val="00CC241E"/>
    <w:rsid w:val="00CC2958"/>
    <w:rsid w:val="00CC2C67"/>
    <w:rsid w:val="00CC2DB3"/>
    <w:rsid w:val="00CC2FD8"/>
    <w:rsid w:val="00CC316B"/>
    <w:rsid w:val="00CC3236"/>
    <w:rsid w:val="00CC3337"/>
    <w:rsid w:val="00CC365A"/>
    <w:rsid w:val="00CC3985"/>
    <w:rsid w:val="00CC3AD8"/>
    <w:rsid w:val="00CC3B63"/>
    <w:rsid w:val="00CC3C28"/>
    <w:rsid w:val="00CC4075"/>
    <w:rsid w:val="00CC4208"/>
    <w:rsid w:val="00CC4D43"/>
    <w:rsid w:val="00CC5734"/>
    <w:rsid w:val="00CC5923"/>
    <w:rsid w:val="00CC592E"/>
    <w:rsid w:val="00CC5E15"/>
    <w:rsid w:val="00CC6214"/>
    <w:rsid w:val="00CC64B5"/>
    <w:rsid w:val="00CC64CF"/>
    <w:rsid w:val="00CC64FE"/>
    <w:rsid w:val="00CC6679"/>
    <w:rsid w:val="00CC6B63"/>
    <w:rsid w:val="00CC6BF8"/>
    <w:rsid w:val="00CC7449"/>
    <w:rsid w:val="00CC74D9"/>
    <w:rsid w:val="00CC7A39"/>
    <w:rsid w:val="00CC7E35"/>
    <w:rsid w:val="00CD08B1"/>
    <w:rsid w:val="00CD0D12"/>
    <w:rsid w:val="00CD0E12"/>
    <w:rsid w:val="00CD0FB9"/>
    <w:rsid w:val="00CD217D"/>
    <w:rsid w:val="00CD26E0"/>
    <w:rsid w:val="00CD2B2B"/>
    <w:rsid w:val="00CD2C81"/>
    <w:rsid w:val="00CD2D41"/>
    <w:rsid w:val="00CD305E"/>
    <w:rsid w:val="00CD315E"/>
    <w:rsid w:val="00CD31E0"/>
    <w:rsid w:val="00CD354E"/>
    <w:rsid w:val="00CD37CE"/>
    <w:rsid w:val="00CD3A63"/>
    <w:rsid w:val="00CD3B66"/>
    <w:rsid w:val="00CD47EF"/>
    <w:rsid w:val="00CD5BE6"/>
    <w:rsid w:val="00CD5E0C"/>
    <w:rsid w:val="00CD5E3F"/>
    <w:rsid w:val="00CD6051"/>
    <w:rsid w:val="00CD6057"/>
    <w:rsid w:val="00CD6433"/>
    <w:rsid w:val="00CD64AA"/>
    <w:rsid w:val="00CD6B91"/>
    <w:rsid w:val="00CD6E3D"/>
    <w:rsid w:val="00CD731C"/>
    <w:rsid w:val="00CD7921"/>
    <w:rsid w:val="00CD7B4D"/>
    <w:rsid w:val="00CE044E"/>
    <w:rsid w:val="00CE05BE"/>
    <w:rsid w:val="00CE0C02"/>
    <w:rsid w:val="00CE1172"/>
    <w:rsid w:val="00CE11AB"/>
    <w:rsid w:val="00CE1545"/>
    <w:rsid w:val="00CE154A"/>
    <w:rsid w:val="00CE16B2"/>
    <w:rsid w:val="00CE171A"/>
    <w:rsid w:val="00CE1E68"/>
    <w:rsid w:val="00CE1F76"/>
    <w:rsid w:val="00CE2479"/>
    <w:rsid w:val="00CE3006"/>
    <w:rsid w:val="00CE30D5"/>
    <w:rsid w:val="00CE31E9"/>
    <w:rsid w:val="00CE3301"/>
    <w:rsid w:val="00CE3318"/>
    <w:rsid w:val="00CE3606"/>
    <w:rsid w:val="00CE361C"/>
    <w:rsid w:val="00CE393A"/>
    <w:rsid w:val="00CE3BC0"/>
    <w:rsid w:val="00CE3C2A"/>
    <w:rsid w:val="00CE3D02"/>
    <w:rsid w:val="00CE3D99"/>
    <w:rsid w:val="00CE4158"/>
    <w:rsid w:val="00CE43C4"/>
    <w:rsid w:val="00CE4474"/>
    <w:rsid w:val="00CE4D76"/>
    <w:rsid w:val="00CE4F67"/>
    <w:rsid w:val="00CE4F73"/>
    <w:rsid w:val="00CE507A"/>
    <w:rsid w:val="00CE5723"/>
    <w:rsid w:val="00CE5774"/>
    <w:rsid w:val="00CE5B8F"/>
    <w:rsid w:val="00CE5EA2"/>
    <w:rsid w:val="00CE5F42"/>
    <w:rsid w:val="00CE62D4"/>
    <w:rsid w:val="00CE6550"/>
    <w:rsid w:val="00CE6920"/>
    <w:rsid w:val="00CE6A17"/>
    <w:rsid w:val="00CE6BAF"/>
    <w:rsid w:val="00CE6BDD"/>
    <w:rsid w:val="00CE714F"/>
    <w:rsid w:val="00CE7757"/>
    <w:rsid w:val="00CE7A38"/>
    <w:rsid w:val="00CE7E42"/>
    <w:rsid w:val="00CF06E6"/>
    <w:rsid w:val="00CF1008"/>
    <w:rsid w:val="00CF1073"/>
    <w:rsid w:val="00CF15F5"/>
    <w:rsid w:val="00CF180E"/>
    <w:rsid w:val="00CF20C0"/>
    <w:rsid w:val="00CF215C"/>
    <w:rsid w:val="00CF25A5"/>
    <w:rsid w:val="00CF26A7"/>
    <w:rsid w:val="00CF2829"/>
    <w:rsid w:val="00CF2AB3"/>
    <w:rsid w:val="00CF2BD6"/>
    <w:rsid w:val="00CF30FD"/>
    <w:rsid w:val="00CF312D"/>
    <w:rsid w:val="00CF3910"/>
    <w:rsid w:val="00CF3B61"/>
    <w:rsid w:val="00CF45AD"/>
    <w:rsid w:val="00CF463D"/>
    <w:rsid w:val="00CF4662"/>
    <w:rsid w:val="00CF5452"/>
    <w:rsid w:val="00CF5530"/>
    <w:rsid w:val="00CF5607"/>
    <w:rsid w:val="00CF5971"/>
    <w:rsid w:val="00CF59E1"/>
    <w:rsid w:val="00CF5AC6"/>
    <w:rsid w:val="00CF5B5B"/>
    <w:rsid w:val="00CF68BF"/>
    <w:rsid w:val="00CF7033"/>
    <w:rsid w:val="00CF7957"/>
    <w:rsid w:val="00CF7C47"/>
    <w:rsid w:val="00CF7FEC"/>
    <w:rsid w:val="00D0017B"/>
    <w:rsid w:val="00D00270"/>
    <w:rsid w:val="00D0086B"/>
    <w:rsid w:val="00D01171"/>
    <w:rsid w:val="00D013BF"/>
    <w:rsid w:val="00D01A9E"/>
    <w:rsid w:val="00D01B8A"/>
    <w:rsid w:val="00D01E04"/>
    <w:rsid w:val="00D021E6"/>
    <w:rsid w:val="00D027F2"/>
    <w:rsid w:val="00D0299F"/>
    <w:rsid w:val="00D029F5"/>
    <w:rsid w:val="00D02AA8"/>
    <w:rsid w:val="00D037DA"/>
    <w:rsid w:val="00D03862"/>
    <w:rsid w:val="00D03989"/>
    <w:rsid w:val="00D03A18"/>
    <w:rsid w:val="00D03C5D"/>
    <w:rsid w:val="00D03C6A"/>
    <w:rsid w:val="00D03D42"/>
    <w:rsid w:val="00D04405"/>
    <w:rsid w:val="00D04743"/>
    <w:rsid w:val="00D04806"/>
    <w:rsid w:val="00D04B8B"/>
    <w:rsid w:val="00D04C9C"/>
    <w:rsid w:val="00D04CC4"/>
    <w:rsid w:val="00D0595B"/>
    <w:rsid w:val="00D05F83"/>
    <w:rsid w:val="00D0658B"/>
    <w:rsid w:val="00D069ED"/>
    <w:rsid w:val="00D06A74"/>
    <w:rsid w:val="00D06E84"/>
    <w:rsid w:val="00D07042"/>
    <w:rsid w:val="00D07192"/>
    <w:rsid w:val="00D07A05"/>
    <w:rsid w:val="00D07B94"/>
    <w:rsid w:val="00D10512"/>
    <w:rsid w:val="00D10647"/>
    <w:rsid w:val="00D10EF9"/>
    <w:rsid w:val="00D11029"/>
    <w:rsid w:val="00D11209"/>
    <w:rsid w:val="00D11317"/>
    <w:rsid w:val="00D11490"/>
    <w:rsid w:val="00D115E5"/>
    <w:rsid w:val="00D11BEC"/>
    <w:rsid w:val="00D11F66"/>
    <w:rsid w:val="00D1209F"/>
    <w:rsid w:val="00D1244F"/>
    <w:rsid w:val="00D1288E"/>
    <w:rsid w:val="00D12B39"/>
    <w:rsid w:val="00D12D5A"/>
    <w:rsid w:val="00D1354A"/>
    <w:rsid w:val="00D135A9"/>
    <w:rsid w:val="00D135C4"/>
    <w:rsid w:val="00D13927"/>
    <w:rsid w:val="00D13992"/>
    <w:rsid w:val="00D13B26"/>
    <w:rsid w:val="00D13B62"/>
    <w:rsid w:val="00D14137"/>
    <w:rsid w:val="00D14162"/>
    <w:rsid w:val="00D1426C"/>
    <w:rsid w:val="00D142B6"/>
    <w:rsid w:val="00D1494C"/>
    <w:rsid w:val="00D150DB"/>
    <w:rsid w:val="00D155FF"/>
    <w:rsid w:val="00D15B7E"/>
    <w:rsid w:val="00D1601B"/>
    <w:rsid w:val="00D16288"/>
    <w:rsid w:val="00D1682E"/>
    <w:rsid w:val="00D16E9A"/>
    <w:rsid w:val="00D170CF"/>
    <w:rsid w:val="00D17320"/>
    <w:rsid w:val="00D1746C"/>
    <w:rsid w:val="00D17CD5"/>
    <w:rsid w:val="00D17FD3"/>
    <w:rsid w:val="00D208DE"/>
    <w:rsid w:val="00D20D27"/>
    <w:rsid w:val="00D21B3A"/>
    <w:rsid w:val="00D224C6"/>
    <w:rsid w:val="00D22563"/>
    <w:rsid w:val="00D2260E"/>
    <w:rsid w:val="00D22983"/>
    <w:rsid w:val="00D229E4"/>
    <w:rsid w:val="00D22EE0"/>
    <w:rsid w:val="00D23272"/>
    <w:rsid w:val="00D23420"/>
    <w:rsid w:val="00D2343E"/>
    <w:rsid w:val="00D236EB"/>
    <w:rsid w:val="00D23973"/>
    <w:rsid w:val="00D23BB5"/>
    <w:rsid w:val="00D23E02"/>
    <w:rsid w:val="00D23EB1"/>
    <w:rsid w:val="00D2452C"/>
    <w:rsid w:val="00D2454F"/>
    <w:rsid w:val="00D2589C"/>
    <w:rsid w:val="00D259DE"/>
    <w:rsid w:val="00D25F36"/>
    <w:rsid w:val="00D264AF"/>
    <w:rsid w:val="00D2680E"/>
    <w:rsid w:val="00D26863"/>
    <w:rsid w:val="00D26917"/>
    <w:rsid w:val="00D269E8"/>
    <w:rsid w:val="00D27B0B"/>
    <w:rsid w:val="00D27BA8"/>
    <w:rsid w:val="00D27C22"/>
    <w:rsid w:val="00D305F2"/>
    <w:rsid w:val="00D3070D"/>
    <w:rsid w:val="00D30AE5"/>
    <w:rsid w:val="00D3102E"/>
    <w:rsid w:val="00D31520"/>
    <w:rsid w:val="00D31681"/>
    <w:rsid w:val="00D316FD"/>
    <w:rsid w:val="00D31855"/>
    <w:rsid w:val="00D31875"/>
    <w:rsid w:val="00D31926"/>
    <w:rsid w:val="00D31BBF"/>
    <w:rsid w:val="00D31C0A"/>
    <w:rsid w:val="00D3217C"/>
    <w:rsid w:val="00D324AD"/>
    <w:rsid w:val="00D32631"/>
    <w:rsid w:val="00D32A3C"/>
    <w:rsid w:val="00D32F63"/>
    <w:rsid w:val="00D335C9"/>
    <w:rsid w:val="00D33775"/>
    <w:rsid w:val="00D342A6"/>
    <w:rsid w:val="00D343CC"/>
    <w:rsid w:val="00D34819"/>
    <w:rsid w:val="00D34BE1"/>
    <w:rsid w:val="00D34F79"/>
    <w:rsid w:val="00D35812"/>
    <w:rsid w:val="00D35B5C"/>
    <w:rsid w:val="00D35CB7"/>
    <w:rsid w:val="00D36CEA"/>
    <w:rsid w:val="00D37045"/>
    <w:rsid w:val="00D37862"/>
    <w:rsid w:val="00D37F48"/>
    <w:rsid w:val="00D4048E"/>
    <w:rsid w:val="00D406E1"/>
    <w:rsid w:val="00D40A5F"/>
    <w:rsid w:val="00D40AAE"/>
    <w:rsid w:val="00D40B18"/>
    <w:rsid w:val="00D40D9E"/>
    <w:rsid w:val="00D40E34"/>
    <w:rsid w:val="00D411A2"/>
    <w:rsid w:val="00D41584"/>
    <w:rsid w:val="00D41A72"/>
    <w:rsid w:val="00D42179"/>
    <w:rsid w:val="00D421DD"/>
    <w:rsid w:val="00D4276C"/>
    <w:rsid w:val="00D427BB"/>
    <w:rsid w:val="00D43207"/>
    <w:rsid w:val="00D4346D"/>
    <w:rsid w:val="00D43782"/>
    <w:rsid w:val="00D437B6"/>
    <w:rsid w:val="00D438D6"/>
    <w:rsid w:val="00D43B11"/>
    <w:rsid w:val="00D43B31"/>
    <w:rsid w:val="00D43FC0"/>
    <w:rsid w:val="00D43FFA"/>
    <w:rsid w:val="00D44FA3"/>
    <w:rsid w:val="00D45054"/>
    <w:rsid w:val="00D4567F"/>
    <w:rsid w:val="00D4569E"/>
    <w:rsid w:val="00D45807"/>
    <w:rsid w:val="00D458D7"/>
    <w:rsid w:val="00D45A59"/>
    <w:rsid w:val="00D4685A"/>
    <w:rsid w:val="00D46CA1"/>
    <w:rsid w:val="00D46D81"/>
    <w:rsid w:val="00D46DF9"/>
    <w:rsid w:val="00D47004"/>
    <w:rsid w:val="00D4708A"/>
    <w:rsid w:val="00D47179"/>
    <w:rsid w:val="00D472B4"/>
    <w:rsid w:val="00D47472"/>
    <w:rsid w:val="00D4748A"/>
    <w:rsid w:val="00D474E8"/>
    <w:rsid w:val="00D475A0"/>
    <w:rsid w:val="00D475BF"/>
    <w:rsid w:val="00D50502"/>
    <w:rsid w:val="00D50A3F"/>
    <w:rsid w:val="00D50B06"/>
    <w:rsid w:val="00D50D64"/>
    <w:rsid w:val="00D511B8"/>
    <w:rsid w:val="00D513BA"/>
    <w:rsid w:val="00D51ECB"/>
    <w:rsid w:val="00D521D2"/>
    <w:rsid w:val="00D5316F"/>
    <w:rsid w:val="00D533D8"/>
    <w:rsid w:val="00D53895"/>
    <w:rsid w:val="00D538C8"/>
    <w:rsid w:val="00D53948"/>
    <w:rsid w:val="00D53B44"/>
    <w:rsid w:val="00D53B45"/>
    <w:rsid w:val="00D53BF1"/>
    <w:rsid w:val="00D54077"/>
    <w:rsid w:val="00D542E7"/>
    <w:rsid w:val="00D544AC"/>
    <w:rsid w:val="00D544C2"/>
    <w:rsid w:val="00D54542"/>
    <w:rsid w:val="00D546A1"/>
    <w:rsid w:val="00D5489C"/>
    <w:rsid w:val="00D54EDD"/>
    <w:rsid w:val="00D56055"/>
    <w:rsid w:val="00D5687B"/>
    <w:rsid w:val="00D572DC"/>
    <w:rsid w:val="00D5748A"/>
    <w:rsid w:val="00D57725"/>
    <w:rsid w:val="00D57C61"/>
    <w:rsid w:val="00D57D23"/>
    <w:rsid w:val="00D602A3"/>
    <w:rsid w:val="00D60334"/>
    <w:rsid w:val="00D605E4"/>
    <w:rsid w:val="00D60827"/>
    <w:rsid w:val="00D608BD"/>
    <w:rsid w:val="00D60CBE"/>
    <w:rsid w:val="00D60DE5"/>
    <w:rsid w:val="00D60ED3"/>
    <w:rsid w:val="00D62361"/>
    <w:rsid w:val="00D6289C"/>
    <w:rsid w:val="00D62E90"/>
    <w:rsid w:val="00D62ED9"/>
    <w:rsid w:val="00D63418"/>
    <w:rsid w:val="00D63487"/>
    <w:rsid w:val="00D63652"/>
    <w:rsid w:val="00D63BB5"/>
    <w:rsid w:val="00D63D0B"/>
    <w:rsid w:val="00D64319"/>
    <w:rsid w:val="00D6487B"/>
    <w:rsid w:val="00D6552C"/>
    <w:rsid w:val="00D65A26"/>
    <w:rsid w:val="00D65B8B"/>
    <w:rsid w:val="00D6621D"/>
    <w:rsid w:val="00D66634"/>
    <w:rsid w:val="00D66AF7"/>
    <w:rsid w:val="00D66B5A"/>
    <w:rsid w:val="00D66D45"/>
    <w:rsid w:val="00D66D97"/>
    <w:rsid w:val="00D66F5E"/>
    <w:rsid w:val="00D67841"/>
    <w:rsid w:val="00D67BF4"/>
    <w:rsid w:val="00D67F90"/>
    <w:rsid w:val="00D701F4"/>
    <w:rsid w:val="00D7099E"/>
    <w:rsid w:val="00D70D5D"/>
    <w:rsid w:val="00D70DFF"/>
    <w:rsid w:val="00D712CA"/>
    <w:rsid w:val="00D712D1"/>
    <w:rsid w:val="00D716C2"/>
    <w:rsid w:val="00D71704"/>
    <w:rsid w:val="00D721BD"/>
    <w:rsid w:val="00D724CC"/>
    <w:rsid w:val="00D726EC"/>
    <w:rsid w:val="00D7278B"/>
    <w:rsid w:val="00D72CBC"/>
    <w:rsid w:val="00D72D76"/>
    <w:rsid w:val="00D72EB2"/>
    <w:rsid w:val="00D7312F"/>
    <w:rsid w:val="00D734E0"/>
    <w:rsid w:val="00D7366F"/>
    <w:rsid w:val="00D73881"/>
    <w:rsid w:val="00D739B0"/>
    <w:rsid w:val="00D74062"/>
    <w:rsid w:val="00D743D8"/>
    <w:rsid w:val="00D7470D"/>
    <w:rsid w:val="00D749B0"/>
    <w:rsid w:val="00D74F6B"/>
    <w:rsid w:val="00D750AB"/>
    <w:rsid w:val="00D753F1"/>
    <w:rsid w:val="00D75D1C"/>
    <w:rsid w:val="00D75DC1"/>
    <w:rsid w:val="00D76674"/>
    <w:rsid w:val="00D76692"/>
    <w:rsid w:val="00D76829"/>
    <w:rsid w:val="00D769D9"/>
    <w:rsid w:val="00D76A5D"/>
    <w:rsid w:val="00D774B3"/>
    <w:rsid w:val="00D775BD"/>
    <w:rsid w:val="00D775EA"/>
    <w:rsid w:val="00D80068"/>
    <w:rsid w:val="00D8043D"/>
    <w:rsid w:val="00D805FC"/>
    <w:rsid w:val="00D80721"/>
    <w:rsid w:val="00D80A2D"/>
    <w:rsid w:val="00D81069"/>
    <w:rsid w:val="00D811AD"/>
    <w:rsid w:val="00D811B4"/>
    <w:rsid w:val="00D812E5"/>
    <w:rsid w:val="00D81D85"/>
    <w:rsid w:val="00D82026"/>
    <w:rsid w:val="00D823F2"/>
    <w:rsid w:val="00D825CC"/>
    <w:rsid w:val="00D82B8A"/>
    <w:rsid w:val="00D83375"/>
    <w:rsid w:val="00D8361E"/>
    <w:rsid w:val="00D8394B"/>
    <w:rsid w:val="00D83F2A"/>
    <w:rsid w:val="00D83FF7"/>
    <w:rsid w:val="00D841E1"/>
    <w:rsid w:val="00D84782"/>
    <w:rsid w:val="00D84AED"/>
    <w:rsid w:val="00D84BE6"/>
    <w:rsid w:val="00D84C74"/>
    <w:rsid w:val="00D84F84"/>
    <w:rsid w:val="00D85059"/>
    <w:rsid w:val="00D8517F"/>
    <w:rsid w:val="00D859AF"/>
    <w:rsid w:val="00D85A4D"/>
    <w:rsid w:val="00D85AB4"/>
    <w:rsid w:val="00D85E72"/>
    <w:rsid w:val="00D85FD2"/>
    <w:rsid w:val="00D86082"/>
    <w:rsid w:val="00D87834"/>
    <w:rsid w:val="00D87CF0"/>
    <w:rsid w:val="00D90166"/>
    <w:rsid w:val="00D90988"/>
    <w:rsid w:val="00D90F25"/>
    <w:rsid w:val="00D91562"/>
    <w:rsid w:val="00D91AEF"/>
    <w:rsid w:val="00D91C18"/>
    <w:rsid w:val="00D922CF"/>
    <w:rsid w:val="00D92305"/>
    <w:rsid w:val="00D9263B"/>
    <w:rsid w:val="00D92A26"/>
    <w:rsid w:val="00D92A7C"/>
    <w:rsid w:val="00D93012"/>
    <w:rsid w:val="00D93269"/>
    <w:rsid w:val="00D9346A"/>
    <w:rsid w:val="00D937FC"/>
    <w:rsid w:val="00D9390F"/>
    <w:rsid w:val="00D93AAF"/>
    <w:rsid w:val="00D93D6A"/>
    <w:rsid w:val="00D9418A"/>
    <w:rsid w:val="00D9424C"/>
    <w:rsid w:val="00D94AB0"/>
    <w:rsid w:val="00D94BDD"/>
    <w:rsid w:val="00D94DA5"/>
    <w:rsid w:val="00D94E5A"/>
    <w:rsid w:val="00D94F7E"/>
    <w:rsid w:val="00D94FA9"/>
    <w:rsid w:val="00D955DE"/>
    <w:rsid w:val="00D957EB"/>
    <w:rsid w:val="00D95B5D"/>
    <w:rsid w:val="00D95BEB"/>
    <w:rsid w:val="00D96B33"/>
    <w:rsid w:val="00D96BC9"/>
    <w:rsid w:val="00D96F70"/>
    <w:rsid w:val="00D9778A"/>
    <w:rsid w:val="00D978C4"/>
    <w:rsid w:val="00D978DA"/>
    <w:rsid w:val="00D97A89"/>
    <w:rsid w:val="00D97B15"/>
    <w:rsid w:val="00D97B1C"/>
    <w:rsid w:val="00D97BCC"/>
    <w:rsid w:val="00D97CB1"/>
    <w:rsid w:val="00D97F10"/>
    <w:rsid w:val="00DA01AB"/>
    <w:rsid w:val="00DA0249"/>
    <w:rsid w:val="00DA0514"/>
    <w:rsid w:val="00DA0A2C"/>
    <w:rsid w:val="00DA1446"/>
    <w:rsid w:val="00DA1471"/>
    <w:rsid w:val="00DA1674"/>
    <w:rsid w:val="00DA2C51"/>
    <w:rsid w:val="00DA2E8F"/>
    <w:rsid w:val="00DA2F8B"/>
    <w:rsid w:val="00DA321F"/>
    <w:rsid w:val="00DA3479"/>
    <w:rsid w:val="00DA349F"/>
    <w:rsid w:val="00DA353C"/>
    <w:rsid w:val="00DA35B8"/>
    <w:rsid w:val="00DA3910"/>
    <w:rsid w:val="00DA3B93"/>
    <w:rsid w:val="00DA3BA3"/>
    <w:rsid w:val="00DA3C29"/>
    <w:rsid w:val="00DA3DE3"/>
    <w:rsid w:val="00DA3E43"/>
    <w:rsid w:val="00DA42A2"/>
    <w:rsid w:val="00DA4A86"/>
    <w:rsid w:val="00DA51DA"/>
    <w:rsid w:val="00DA525B"/>
    <w:rsid w:val="00DA5516"/>
    <w:rsid w:val="00DA5741"/>
    <w:rsid w:val="00DA5898"/>
    <w:rsid w:val="00DA5C64"/>
    <w:rsid w:val="00DA5EB6"/>
    <w:rsid w:val="00DA60C3"/>
    <w:rsid w:val="00DA6802"/>
    <w:rsid w:val="00DA69C8"/>
    <w:rsid w:val="00DA6F18"/>
    <w:rsid w:val="00DA6F87"/>
    <w:rsid w:val="00DA7603"/>
    <w:rsid w:val="00DA7693"/>
    <w:rsid w:val="00DA7C04"/>
    <w:rsid w:val="00DB0255"/>
    <w:rsid w:val="00DB0305"/>
    <w:rsid w:val="00DB04A4"/>
    <w:rsid w:val="00DB063F"/>
    <w:rsid w:val="00DB0A18"/>
    <w:rsid w:val="00DB0CC3"/>
    <w:rsid w:val="00DB0F15"/>
    <w:rsid w:val="00DB156F"/>
    <w:rsid w:val="00DB1694"/>
    <w:rsid w:val="00DB19E7"/>
    <w:rsid w:val="00DB1EE1"/>
    <w:rsid w:val="00DB20B8"/>
    <w:rsid w:val="00DB24C0"/>
    <w:rsid w:val="00DB24D2"/>
    <w:rsid w:val="00DB264F"/>
    <w:rsid w:val="00DB26D6"/>
    <w:rsid w:val="00DB26E0"/>
    <w:rsid w:val="00DB28DA"/>
    <w:rsid w:val="00DB2E10"/>
    <w:rsid w:val="00DB3676"/>
    <w:rsid w:val="00DB3691"/>
    <w:rsid w:val="00DB3A89"/>
    <w:rsid w:val="00DB3AD8"/>
    <w:rsid w:val="00DB3B40"/>
    <w:rsid w:val="00DB3B82"/>
    <w:rsid w:val="00DB3C00"/>
    <w:rsid w:val="00DB4B5F"/>
    <w:rsid w:val="00DB51AD"/>
    <w:rsid w:val="00DB522D"/>
    <w:rsid w:val="00DB551E"/>
    <w:rsid w:val="00DB5563"/>
    <w:rsid w:val="00DB5782"/>
    <w:rsid w:val="00DB5946"/>
    <w:rsid w:val="00DB6004"/>
    <w:rsid w:val="00DB6405"/>
    <w:rsid w:val="00DB6B76"/>
    <w:rsid w:val="00DB7430"/>
    <w:rsid w:val="00DB75A9"/>
    <w:rsid w:val="00DB79DA"/>
    <w:rsid w:val="00DC0106"/>
    <w:rsid w:val="00DC08AD"/>
    <w:rsid w:val="00DC0A30"/>
    <w:rsid w:val="00DC0C71"/>
    <w:rsid w:val="00DC0CA9"/>
    <w:rsid w:val="00DC1202"/>
    <w:rsid w:val="00DC1881"/>
    <w:rsid w:val="00DC1B4A"/>
    <w:rsid w:val="00DC1F53"/>
    <w:rsid w:val="00DC1FF5"/>
    <w:rsid w:val="00DC2475"/>
    <w:rsid w:val="00DC2592"/>
    <w:rsid w:val="00DC296F"/>
    <w:rsid w:val="00DC2B49"/>
    <w:rsid w:val="00DC2E79"/>
    <w:rsid w:val="00DC2F24"/>
    <w:rsid w:val="00DC33D3"/>
    <w:rsid w:val="00DC3460"/>
    <w:rsid w:val="00DC3B1C"/>
    <w:rsid w:val="00DC3B54"/>
    <w:rsid w:val="00DC3D3F"/>
    <w:rsid w:val="00DC3F5B"/>
    <w:rsid w:val="00DC412A"/>
    <w:rsid w:val="00DC44E2"/>
    <w:rsid w:val="00DC45CB"/>
    <w:rsid w:val="00DC4F66"/>
    <w:rsid w:val="00DC517C"/>
    <w:rsid w:val="00DC51B3"/>
    <w:rsid w:val="00DC5C6E"/>
    <w:rsid w:val="00DC63F9"/>
    <w:rsid w:val="00DC6993"/>
    <w:rsid w:val="00DC6B40"/>
    <w:rsid w:val="00DC6F25"/>
    <w:rsid w:val="00DC73A4"/>
    <w:rsid w:val="00DC7569"/>
    <w:rsid w:val="00DC76DC"/>
    <w:rsid w:val="00DC7779"/>
    <w:rsid w:val="00DC7A56"/>
    <w:rsid w:val="00DC7C7A"/>
    <w:rsid w:val="00DD06A3"/>
    <w:rsid w:val="00DD06B4"/>
    <w:rsid w:val="00DD0846"/>
    <w:rsid w:val="00DD0957"/>
    <w:rsid w:val="00DD0982"/>
    <w:rsid w:val="00DD1086"/>
    <w:rsid w:val="00DD1139"/>
    <w:rsid w:val="00DD1315"/>
    <w:rsid w:val="00DD1E2F"/>
    <w:rsid w:val="00DD1E6B"/>
    <w:rsid w:val="00DD2344"/>
    <w:rsid w:val="00DD236F"/>
    <w:rsid w:val="00DD2781"/>
    <w:rsid w:val="00DD2BA2"/>
    <w:rsid w:val="00DD300B"/>
    <w:rsid w:val="00DD318C"/>
    <w:rsid w:val="00DD31CC"/>
    <w:rsid w:val="00DD36F6"/>
    <w:rsid w:val="00DD37DC"/>
    <w:rsid w:val="00DD39DE"/>
    <w:rsid w:val="00DD401E"/>
    <w:rsid w:val="00DD41B8"/>
    <w:rsid w:val="00DD4226"/>
    <w:rsid w:val="00DD42CA"/>
    <w:rsid w:val="00DD4CE7"/>
    <w:rsid w:val="00DD4D97"/>
    <w:rsid w:val="00DD4E2B"/>
    <w:rsid w:val="00DD4F5A"/>
    <w:rsid w:val="00DD5045"/>
    <w:rsid w:val="00DD50D3"/>
    <w:rsid w:val="00DD5123"/>
    <w:rsid w:val="00DD570B"/>
    <w:rsid w:val="00DD68A2"/>
    <w:rsid w:val="00DD6912"/>
    <w:rsid w:val="00DD6DAD"/>
    <w:rsid w:val="00DD7718"/>
    <w:rsid w:val="00DD7C4A"/>
    <w:rsid w:val="00DD7DB8"/>
    <w:rsid w:val="00DD7FF3"/>
    <w:rsid w:val="00DE01BC"/>
    <w:rsid w:val="00DE035A"/>
    <w:rsid w:val="00DE036E"/>
    <w:rsid w:val="00DE04AC"/>
    <w:rsid w:val="00DE07DC"/>
    <w:rsid w:val="00DE07FE"/>
    <w:rsid w:val="00DE0A10"/>
    <w:rsid w:val="00DE0BAF"/>
    <w:rsid w:val="00DE0D27"/>
    <w:rsid w:val="00DE10C9"/>
    <w:rsid w:val="00DE112E"/>
    <w:rsid w:val="00DE12C5"/>
    <w:rsid w:val="00DE12D0"/>
    <w:rsid w:val="00DE1715"/>
    <w:rsid w:val="00DE1BC9"/>
    <w:rsid w:val="00DE1E6B"/>
    <w:rsid w:val="00DE215F"/>
    <w:rsid w:val="00DE26B5"/>
    <w:rsid w:val="00DE282D"/>
    <w:rsid w:val="00DE29D6"/>
    <w:rsid w:val="00DE2A2C"/>
    <w:rsid w:val="00DE2E3E"/>
    <w:rsid w:val="00DE2E72"/>
    <w:rsid w:val="00DE2F47"/>
    <w:rsid w:val="00DE332F"/>
    <w:rsid w:val="00DE3DB1"/>
    <w:rsid w:val="00DE3F22"/>
    <w:rsid w:val="00DE40D7"/>
    <w:rsid w:val="00DE4142"/>
    <w:rsid w:val="00DE44E3"/>
    <w:rsid w:val="00DE4C59"/>
    <w:rsid w:val="00DE5395"/>
    <w:rsid w:val="00DE5625"/>
    <w:rsid w:val="00DE5669"/>
    <w:rsid w:val="00DE5C42"/>
    <w:rsid w:val="00DE5F1F"/>
    <w:rsid w:val="00DE5F8C"/>
    <w:rsid w:val="00DE5FF9"/>
    <w:rsid w:val="00DE609F"/>
    <w:rsid w:val="00DE6829"/>
    <w:rsid w:val="00DE6C7B"/>
    <w:rsid w:val="00DE70AA"/>
    <w:rsid w:val="00DE767F"/>
    <w:rsid w:val="00DE7873"/>
    <w:rsid w:val="00DE795B"/>
    <w:rsid w:val="00DE7B95"/>
    <w:rsid w:val="00DF03CD"/>
    <w:rsid w:val="00DF0460"/>
    <w:rsid w:val="00DF0552"/>
    <w:rsid w:val="00DF0CD0"/>
    <w:rsid w:val="00DF113F"/>
    <w:rsid w:val="00DF1145"/>
    <w:rsid w:val="00DF1344"/>
    <w:rsid w:val="00DF1704"/>
    <w:rsid w:val="00DF1809"/>
    <w:rsid w:val="00DF1827"/>
    <w:rsid w:val="00DF1A80"/>
    <w:rsid w:val="00DF1D25"/>
    <w:rsid w:val="00DF2561"/>
    <w:rsid w:val="00DF2948"/>
    <w:rsid w:val="00DF2BEE"/>
    <w:rsid w:val="00DF2E19"/>
    <w:rsid w:val="00DF3075"/>
    <w:rsid w:val="00DF371B"/>
    <w:rsid w:val="00DF373E"/>
    <w:rsid w:val="00DF3E4B"/>
    <w:rsid w:val="00DF4530"/>
    <w:rsid w:val="00DF501F"/>
    <w:rsid w:val="00DF507C"/>
    <w:rsid w:val="00DF50B9"/>
    <w:rsid w:val="00DF5B0D"/>
    <w:rsid w:val="00DF66B3"/>
    <w:rsid w:val="00DF67E2"/>
    <w:rsid w:val="00DF6C5C"/>
    <w:rsid w:val="00DF6F22"/>
    <w:rsid w:val="00DF709D"/>
    <w:rsid w:val="00DF7AA5"/>
    <w:rsid w:val="00DF7F0C"/>
    <w:rsid w:val="00DF7F79"/>
    <w:rsid w:val="00E00190"/>
    <w:rsid w:val="00E003F9"/>
    <w:rsid w:val="00E009C3"/>
    <w:rsid w:val="00E00ACB"/>
    <w:rsid w:val="00E00C1F"/>
    <w:rsid w:val="00E00DB7"/>
    <w:rsid w:val="00E00F82"/>
    <w:rsid w:val="00E00F98"/>
    <w:rsid w:val="00E010D7"/>
    <w:rsid w:val="00E011CC"/>
    <w:rsid w:val="00E015E0"/>
    <w:rsid w:val="00E01729"/>
    <w:rsid w:val="00E01C8E"/>
    <w:rsid w:val="00E02424"/>
    <w:rsid w:val="00E026E9"/>
    <w:rsid w:val="00E0289A"/>
    <w:rsid w:val="00E02B11"/>
    <w:rsid w:val="00E02BA7"/>
    <w:rsid w:val="00E02D2F"/>
    <w:rsid w:val="00E02D51"/>
    <w:rsid w:val="00E02F1D"/>
    <w:rsid w:val="00E0310B"/>
    <w:rsid w:val="00E037A8"/>
    <w:rsid w:val="00E03DF4"/>
    <w:rsid w:val="00E04115"/>
    <w:rsid w:val="00E04165"/>
    <w:rsid w:val="00E04377"/>
    <w:rsid w:val="00E04ABE"/>
    <w:rsid w:val="00E04C15"/>
    <w:rsid w:val="00E05AB9"/>
    <w:rsid w:val="00E05FBA"/>
    <w:rsid w:val="00E060CA"/>
    <w:rsid w:val="00E06A84"/>
    <w:rsid w:val="00E07129"/>
    <w:rsid w:val="00E0768D"/>
    <w:rsid w:val="00E07A4C"/>
    <w:rsid w:val="00E07A9E"/>
    <w:rsid w:val="00E10030"/>
    <w:rsid w:val="00E10206"/>
    <w:rsid w:val="00E10364"/>
    <w:rsid w:val="00E106B0"/>
    <w:rsid w:val="00E10938"/>
    <w:rsid w:val="00E10AAF"/>
    <w:rsid w:val="00E11582"/>
    <w:rsid w:val="00E117AD"/>
    <w:rsid w:val="00E11A10"/>
    <w:rsid w:val="00E11BC7"/>
    <w:rsid w:val="00E11FDA"/>
    <w:rsid w:val="00E122DF"/>
    <w:rsid w:val="00E12419"/>
    <w:rsid w:val="00E12773"/>
    <w:rsid w:val="00E12BF4"/>
    <w:rsid w:val="00E13249"/>
    <w:rsid w:val="00E133A0"/>
    <w:rsid w:val="00E135EA"/>
    <w:rsid w:val="00E13A35"/>
    <w:rsid w:val="00E13B43"/>
    <w:rsid w:val="00E13BBB"/>
    <w:rsid w:val="00E14547"/>
    <w:rsid w:val="00E14D84"/>
    <w:rsid w:val="00E14D86"/>
    <w:rsid w:val="00E14F0F"/>
    <w:rsid w:val="00E1572A"/>
    <w:rsid w:val="00E15784"/>
    <w:rsid w:val="00E15CD7"/>
    <w:rsid w:val="00E15E03"/>
    <w:rsid w:val="00E160AC"/>
    <w:rsid w:val="00E16187"/>
    <w:rsid w:val="00E16282"/>
    <w:rsid w:val="00E169DC"/>
    <w:rsid w:val="00E16B35"/>
    <w:rsid w:val="00E16BE1"/>
    <w:rsid w:val="00E16D87"/>
    <w:rsid w:val="00E1755C"/>
    <w:rsid w:val="00E200B6"/>
    <w:rsid w:val="00E201E6"/>
    <w:rsid w:val="00E2034F"/>
    <w:rsid w:val="00E205DC"/>
    <w:rsid w:val="00E20689"/>
    <w:rsid w:val="00E20960"/>
    <w:rsid w:val="00E20A37"/>
    <w:rsid w:val="00E20BB2"/>
    <w:rsid w:val="00E20C58"/>
    <w:rsid w:val="00E20E88"/>
    <w:rsid w:val="00E2109B"/>
    <w:rsid w:val="00E21195"/>
    <w:rsid w:val="00E21274"/>
    <w:rsid w:val="00E2142D"/>
    <w:rsid w:val="00E2213C"/>
    <w:rsid w:val="00E22326"/>
    <w:rsid w:val="00E22343"/>
    <w:rsid w:val="00E224AA"/>
    <w:rsid w:val="00E22D2C"/>
    <w:rsid w:val="00E22FFF"/>
    <w:rsid w:val="00E2304D"/>
    <w:rsid w:val="00E23700"/>
    <w:rsid w:val="00E238A3"/>
    <w:rsid w:val="00E240A8"/>
    <w:rsid w:val="00E242B3"/>
    <w:rsid w:val="00E245EC"/>
    <w:rsid w:val="00E24AEF"/>
    <w:rsid w:val="00E24B68"/>
    <w:rsid w:val="00E25398"/>
    <w:rsid w:val="00E254D1"/>
    <w:rsid w:val="00E2606C"/>
    <w:rsid w:val="00E2638D"/>
    <w:rsid w:val="00E2654F"/>
    <w:rsid w:val="00E267C7"/>
    <w:rsid w:val="00E269EF"/>
    <w:rsid w:val="00E26DA8"/>
    <w:rsid w:val="00E26FD7"/>
    <w:rsid w:val="00E27DDA"/>
    <w:rsid w:val="00E27E59"/>
    <w:rsid w:val="00E30040"/>
    <w:rsid w:val="00E304FD"/>
    <w:rsid w:val="00E30613"/>
    <w:rsid w:val="00E30618"/>
    <w:rsid w:val="00E306D6"/>
    <w:rsid w:val="00E3079B"/>
    <w:rsid w:val="00E307C7"/>
    <w:rsid w:val="00E30E22"/>
    <w:rsid w:val="00E30E40"/>
    <w:rsid w:val="00E311CD"/>
    <w:rsid w:val="00E31300"/>
    <w:rsid w:val="00E31494"/>
    <w:rsid w:val="00E31797"/>
    <w:rsid w:val="00E31A32"/>
    <w:rsid w:val="00E31E94"/>
    <w:rsid w:val="00E3235B"/>
    <w:rsid w:val="00E325A0"/>
    <w:rsid w:val="00E32BEF"/>
    <w:rsid w:val="00E32E8F"/>
    <w:rsid w:val="00E34553"/>
    <w:rsid w:val="00E34713"/>
    <w:rsid w:val="00E34A02"/>
    <w:rsid w:val="00E34AE2"/>
    <w:rsid w:val="00E34BD0"/>
    <w:rsid w:val="00E34C2E"/>
    <w:rsid w:val="00E34FA6"/>
    <w:rsid w:val="00E35210"/>
    <w:rsid w:val="00E3536A"/>
    <w:rsid w:val="00E35532"/>
    <w:rsid w:val="00E35CD0"/>
    <w:rsid w:val="00E36170"/>
    <w:rsid w:val="00E366A1"/>
    <w:rsid w:val="00E36874"/>
    <w:rsid w:val="00E36A87"/>
    <w:rsid w:val="00E36E84"/>
    <w:rsid w:val="00E3712A"/>
    <w:rsid w:val="00E3714F"/>
    <w:rsid w:val="00E3729A"/>
    <w:rsid w:val="00E3750D"/>
    <w:rsid w:val="00E37AAB"/>
    <w:rsid w:val="00E37B14"/>
    <w:rsid w:val="00E37E18"/>
    <w:rsid w:val="00E37EC9"/>
    <w:rsid w:val="00E400DD"/>
    <w:rsid w:val="00E40224"/>
    <w:rsid w:val="00E40296"/>
    <w:rsid w:val="00E404CE"/>
    <w:rsid w:val="00E406F2"/>
    <w:rsid w:val="00E4072C"/>
    <w:rsid w:val="00E40766"/>
    <w:rsid w:val="00E408E3"/>
    <w:rsid w:val="00E408F5"/>
    <w:rsid w:val="00E41225"/>
    <w:rsid w:val="00E41424"/>
    <w:rsid w:val="00E4147E"/>
    <w:rsid w:val="00E41481"/>
    <w:rsid w:val="00E41DFC"/>
    <w:rsid w:val="00E42295"/>
    <w:rsid w:val="00E4243C"/>
    <w:rsid w:val="00E42605"/>
    <w:rsid w:val="00E42AD6"/>
    <w:rsid w:val="00E42C40"/>
    <w:rsid w:val="00E432FA"/>
    <w:rsid w:val="00E437AC"/>
    <w:rsid w:val="00E43A78"/>
    <w:rsid w:val="00E43E74"/>
    <w:rsid w:val="00E442BA"/>
    <w:rsid w:val="00E4436B"/>
    <w:rsid w:val="00E44554"/>
    <w:rsid w:val="00E445E3"/>
    <w:rsid w:val="00E44A4E"/>
    <w:rsid w:val="00E44A8E"/>
    <w:rsid w:val="00E44B9D"/>
    <w:rsid w:val="00E44F97"/>
    <w:rsid w:val="00E45268"/>
    <w:rsid w:val="00E45482"/>
    <w:rsid w:val="00E45D04"/>
    <w:rsid w:val="00E46AD5"/>
    <w:rsid w:val="00E46B0C"/>
    <w:rsid w:val="00E46D69"/>
    <w:rsid w:val="00E473F2"/>
    <w:rsid w:val="00E4767B"/>
    <w:rsid w:val="00E47C26"/>
    <w:rsid w:val="00E47D2C"/>
    <w:rsid w:val="00E47D48"/>
    <w:rsid w:val="00E47F68"/>
    <w:rsid w:val="00E5036C"/>
    <w:rsid w:val="00E50B01"/>
    <w:rsid w:val="00E50C28"/>
    <w:rsid w:val="00E50C3E"/>
    <w:rsid w:val="00E50C5B"/>
    <w:rsid w:val="00E50EFD"/>
    <w:rsid w:val="00E51CF7"/>
    <w:rsid w:val="00E51D1E"/>
    <w:rsid w:val="00E523C8"/>
    <w:rsid w:val="00E52BDE"/>
    <w:rsid w:val="00E52FD3"/>
    <w:rsid w:val="00E53064"/>
    <w:rsid w:val="00E5343A"/>
    <w:rsid w:val="00E53607"/>
    <w:rsid w:val="00E54466"/>
    <w:rsid w:val="00E5500B"/>
    <w:rsid w:val="00E56312"/>
    <w:rsid w:val="00E56C0B"/>
    <w:rsid w:val="00E56DF2"/>
    <w:rsid w:val="00E571B3"/>
    <w:rsid w:val="00E5743C"/>
    <w:rsid w:val="00E57AE1"/>
    <w:rsid w:val="00E603EC"/>
    <w:rsid w:val="00E6053C"/>
    <w:rsid w:val="00E6062D"/>
    <w:rsid w:val="00E6068D"/>
    <w:rsid w:val="00E60710"/>
    <w:rsid w:val="00E60984"/>
    <w:rsid w:val="00E60CD6"/>
    <w:rsid w:val="00E60D34"/>
    <w:rsid w:val="00E61586"/>
    <w:rsid w:val="00E62427"/>
    <w:rsid w:val="00E6296D"/>
    <w:rsid w:val="00E62A1A"/>
    <w:rsid w:val="00E62C4A"/>
    <w:rsid w:val="00E62CD1"/>
    <w:rsid w:val="00E62E67"/>
    <w:rsid w:val="00E635BA"/>
    <w:rsid w:val="00E63FA0"/>
    <w:rsid w:val="00E649F7"/>
    <w:rsid w:val="00E64CD0"/>
    <w:rsid w:val="00E651D1"/>
    <w:rsid w:val="00E6525C"/>
    <w:rsid w:val="00E65664"/>
    <w:rsid w:val="00E65B4B"/>
    <w:rsid w:val="00E66261"/>
    <w:rsid w:val="00E66F5A"/>
    <w:rsid w:val="00E672B6"/>
    <w:rsid w:val="00E675E9"/>
    <w:rsid w:val="00E6798E"/>
    <w:rsid w:val="00E67FFD"/>
    <w:rsid w:val="00E70699"/>
    <w:rsid w:val="00E71143"/>
    <w:rsid w:val="00E71487"/>
    <w:rsid w:val="00E71A0E"/>
    <w:rsid w:val="00E71AF1"/>
    <w:rsid w:val="00E71FBB"/>
    <w:rsid w:val="00E72112"/>
    <w:rsid w:val="00E7220D"/>
    <w:rsid w:val="00E72542"/>
    <w:rsid w:val="00E7258C"/>
    <w:rsid w:val="00E72A51"/>
    <w:rsid w:val="00E72ABD"/>
    <w:rsid w:val="00E72E41"/>
    <w:rsid w:val="00E730CD"/>
    <w:rsid w:val="00E73AF7"/>
    <w:rsid w:val="00E73B4A"/>
    <w:rsid w:val="00E744BD"/>
    <w:rsid w:val="00E7472D"/>
    <w:rsid w:val="00E74A60"/>
    <w:rsid w:val="00E74C77"/>
    <w:rsid w:val="00E753DA"/>
    <w:rsid w:val="00E75889"/>
    <w:rsid w:val="00E758D5"/>
    <w:rsid w:val="00E75BB4"/>
    <w:rsid w:val="00E75ED8"/>
    <w:rsid w:val="00E76CE4"/>
    <w:rsid w:val="00E7732C"/>
    <w:rsid w:val="00E77690"/>
    <w:rsid w:val="00E77BC8"/>
    <w:rsid w:val="00E77EAB"/>
    <w:rsid w:val="00E8052F"/>
    <w:rsid w:val="00E808EB"/>
    <w:rsid w:val="00E80963"/>
    <w:rsid w:val="00E80C5F"/>
    <w:rsid w:val="00E81043"/>
    <w:rsid w:val="00E81181"/>
    <w:rsid w:val="00E814D4"/>
    <w:rsid w:val="00E816F5"/>
    <w:rsid w:val="00E818B2"/>
    <w:rsid w:val="00E81A1E"/>
    <w:rsid w:val="00E81CA0"/>
    <w:rsid w:val="00E820BD"/>
    <w:rsid w:val="00E8214D"/>
    <w:rsid w:val="00E8270F"/>
    <w:rsid w:val="00E82864"/>
    <w:rsid w:val="00E82943"/>
    <w:rsid w:val="00E82B7A"/>
    <w:rsid w:val="00E83208"/>
    <w:rsid w:val="00E8348C"/>
    <w:rsid w:val="00E83A18"/>
    <w:rsid w:val="00E84605"/>
    <w:rsid w:val="00E84920"/>
    <w:rsid w:val="00E8592E"/>
    <w:rsid w:val="00E85B11"/>
    <w:rsid w:val="00E85F3B"/>
    <w:rsid w:val="00E86180"/>
    <w:rsid w:val="00E86432"/>
    <w:rsid w:val="00E86948"/>
    <w:rsid w:val="00E86998"/>
    <w:rsid w:val="00E86B2F"/>
    <w:rsid w:val="00E87102"/>
    <w:rsid w:val="00E8711F"/>
    <w:rsid w:val="00E874BE"/>
    <w:rsid w:val="00E874F7"/>
    <w:rsid w:val="00E879A7"/>
    <w:rsid w:val="00E87F9D"/>
    <w:rsid w:val="00E9084D"/>
    <w:rsid w:val="00E90877"/>
    <w:rsid w:val="00E90D52"/>
    <w:rsid w:val="00E90E06"/>
    <w:rsid w:val="00E91168"/>
    <w:rsid w:val="00E91354"/>
    <w:rsid w:val="00E915F5"/>
    <w:rsid w:val="00E91672"/>
    <w:rsid w:val="00E919F8"/>
    <w:rsid w:val="00E91B21"/>
    <w:rsid w:val="00E91B57"/>
    <w:rsid w:val="00E91D14"/>
    <w:rsid w:val="00E91D44"/>
    <w:rsid w:val="00E92684"/>
    <w:rsid w:val="00E9294F"/>
    <w:rsid w:val="00E9319F"/>
    <w:rsid w:val="00E9344A"/>
    <w:rsid w:val="00E9372B"/>
    <w:rsid w:val="00E93780"/>
    <w:rsid w:val="00E9378C"/>
    <w:rsid w:val="00E93F3A"/>
    <w:rsid w:val="00E946DF"/>
    <w:rsid w:val="00E94A4F"/>
    <w:rsid w:val="00E94DB0"/>
    <w:rsid w:val="00E96118"/>
    <w:rsid w:val="00E96982"/>
    <w:rsid w:val="00E96BAB"/>
    <w:rsid w:val="00E97132"/>
    <w:rsid w:val="00E97361"/>
    <w:rsid w:val="00E978DF"/>
    <w:rsid w:val="00E97B06"/>
    <w:rsid w:val="00E97B9A"/>
    <w:rsid w:val="00E97CE5"/>
    <w:rsid w:val="00EA01E9"/>
    <w:rsid w:val="00EA0398"/>
    <w:rsid w:val="00EA0549"/>
    <w:rsid w:val="00EA05E7"/>
    <w:rsid w:val="00EA0B10"/>
    <w:rsid w:val="00EA10E9"/>
    <w:rsid w:val="00EA186C"/>
    <w:rsid w:val="00EA1BBB"/>
    <w:rsid w:val="00EA1C17"/>
    <w:rsid w:val="00EA2004"/>
    <w:rsid w:val="00EA2687"/>
    <w:rsid w:val="00EA29F6"/>
    <w:rsid w:val="00EA2A44"/>
    <w:rsid w:val="00EA363D"/>
    <w:rsid w:val="00EA38FE"/>
    <w:rsid w:val="00EA3CC7"/>
    <w:rsid w:val="00EA3D96"/>
    <w:rsid w:val="00EA3DD2"/>
    <w:rsid w:val="00EA3EC3"/>
    <w:rsid w:val="00EA419C"/>
    <w:rsid w:val="00EA440D"/>
    <w:rsid w:val="00EA4C9F"/>
    <w:rsid w:val="00EA4F8E"/>
    <w:rsid w:val="00EA5002"/>
    <w:rsid w:val="00EA5031"/>
    <w:rsid w:val="00EA50FB"/>
    <w:rsid w:val="00EA5448"/>
    <w:rsid w:val="00EA5F64"/>
    <w:rsid w:val="00EA68F2"/>
    <w:rsid w:val="00EA69D7"/>
    <w:rsid w:val="00EA6D51"/>
    <w:rsid w:val="00EA70F8"/>
    <w:rsid w:val="00EA715F"/>
    <w:rsid w:val="00EA770E"/>
    <w:rsid w:val="00EA77F1"/>
    <w:rsid w:val="00EA7D55"/>
    <w:rsid w:val="00EA7DF6"/>
    <w:rsid w:val="00EB01F5"/>
    <w:rsid w:val="00EB06A9"/>
    <w:rsid w:val="00EB08A7"/>
    <w:rsid w:val="00EB0BDA"/>
    <w:rsid w:val="00EB0F61"/>
    <w:rsid w:val="00EB11B7"/>
    <w:rsid w:val="00EB11C0"/>
    <w:rsid w:val="00EB1541"/>
    <w:rsid w:val="00EB186D"/>
    <w:rsid w:val="00EB19EC"/>
    <w:rsid w:val="00EB215E"/>
    <w:rsid w:val="00EB289B"/>
    <w:rsid w:val="00EB2BED"/>
    <w:rsid w:val="00EB32E0"/>
    <w:rsid w:val="00EB39D9"/>
    <w:rsid w:val="00EB3A53"/>
    <w:rsid w:val="00EB40B9"/>
    <w:rsid w:val="00EB4487"/>
    <w:rsid w:val="00EB45DD"/>
    <w:rsid w:val="00EB46B8"/>
    <w:rsid w:val="00EB49D9"/>
    <w:rsid w:val="00EB5185"/>
    <w:rsid w:val="00EB54FD"/>
    <w:rsid w:val="00EB59F7"/>
    <w:rsid w:val="00EB65F5"/>
    <w:rsid w:val="00EB667B"/>
    <w:rsid w:val="00EB6CC2"/>
    <w:rsid w:val="00EB6CFF"/>
    <w:rsid w:val="00EB77EA"/>
    <w:rsid w:val="00EB7805"/>
    <w:rsid w:val="00EB7BC3"/>
    <w:rsid w:val="00EB7CD8"/>
    <w:rsid w:val="00EB7E99"/>
    <w:rsid w:val="00EC0038"/>
    <w:rsid w:val="00EC004E"/>
    <w:rsid w:val="00EC00B3"/>
    <w:rsid w:val="00EC05D5"/>
    <w:rsid w:val="00EC0C80"/>
    <w:rsid w:val="00EC1396"/>
    <w:rsid w:val="00EC1798"/>
    <w:rsid w:val="00EC197F"/>
    <w:rsid w:val="00EC19BC"/>
    <w:rsid w:val="00EC1B50"/>
    <w:rsid w:val="00EC1E30"/>
    <w:rsid w:val="00EC20A7"/>
    <w:rsid w:val="00EC212C"/>
    <w:rsid w:val="00EC2501"/>
    <w:rsid w:val="00EC2994"/>
    <w:rsid w:val="00EC2C2A"/>
    <w:rsid w:val="00EC2D88"/>
    <w:rsid w:val="00EC3A47"/>
    <w:rsid w:val="00EC3CA7"/>
    <w:rsid w:val="00EC4893"/>
    <w:rsid w:val="00EC4A64"/>
    <w:rsid w:val="00EC4C01"/>
    <w:rsid w:val="00EC4CEF"/>
    <w:rsid w:val="00EC4D62"/>
    <w:rsid w:val="00EC4DA2"/>
    <w:rsid w:val="00EC4DF4"/>
    <w:rsid w:val="00EC50B8"/>
    <w:rsid w:val="00EC55FD"/>
    <w:rsid w:val="00EC5641"/>
    <w:rsid w:val="00EC5B2E"/>
    <w:rsid w:val="00EC5F57"/>
    <w:rsid w:val="00EC5FE1"/>
    <w:rsid w:val="00EC65FC"/>
    <w:rsid w:val="00EC6958"/>
    <w:rsid w:val="00EC69A5"/>
    <w:rsid w:val="00EC6D68"/>
    <w:rsid w:val="00EC6E31"/>
    <w:rsid w:val="00EC6E8C"/>
    <w:rsid w:val="00EC6EC7"/>
    <w:rsid w:val="00EC7245"/>
    <w:rsid w:val="00EC74B5"/>
    <w:rsid w:val="00EC7B1D"/>
    <w:rsid w:val="00ED0661"/>
    <w:rsid w:val="00ED106E"/>
    <w:rsid w:val="00ED1363"/>
    <w:rsid w:val="00ED1CC8"/>
    <w:rsid w:val="00ED2597"/>
    <w:rsid w:val="00ED2AE7"/>
    <w:rsid w:val="00ED2CF6"/>
    <w:rsid w:val="00ED2CFF"/>
    <w:rsid w:val="00ED2F89"/>
    <w:rsid w:val="00ED35B8"/>
    <w:rsid w:val="00ED364A"/>
    <w:rsid w:val="00ED38F4"/>
    <w:rsid w:val="00ED42C1"/>
    <w:rsid w:val="00ED46BB"/>
    <w:rsid w:val="00ED47D8"/>
    <w:rsid w:val="00ED4A10"/>
    <w:rsid w:val="00ED4E77"/>
    <w:rsid w:val="00ED4FE8"/>
    <w:rsid w:val="00ED50D8"/>
    <w:rsid w:val="00ED5657"/>
    <w:rsid w:val="00ED60E1"/>
    <w:rsid w:val="00ED62D2"/>
    <w:rsid w:val="00ED630D"/>
    <w:rsid w:val="00ED64E0"/>
    <w:rsid w:val="00ED66B1"/>
    <w:rsid w:val="00ED6733"/>
    <w:rsid w:val="00ED68A9"/>
    <w:rsid w:val="00ED6B51"/>
    <w:rsid w:val="00ED759C"/>
    <w:rsid w:val="00ED7B94"/>
    <w:rsid w:val="00ED7E4B"/>
    <w:rsid w:val="00EE0854"/>
    <w:rsid w:val="00EE0DBF"/>
    <w:rsid w:val="00EE126C"/>
    <w:rsid w:val="00EE13AE"/>
    <w:rsid w:val="00EE1478"/>
    <w:rsid w:val="00EE177E"/>
    <w:rsid w:val="00EE178B"/>
    <w:rsid w:val="00EE1B00"/>
    <w:rsid w:val="00EE1BCB"/>
    <w:rsid w:val="00EE1C86"/>
    <w:rsid w:val="00EE1F70"/>
    <w:rsid w:val="00EE21E5"/>
    <w:rsid w:val="00EE25E1"/>
    <w:rsid w:val="00EE25ED"/>
    <w:rsid w:val="00EE2D93"/>
    <w:rsid w:val="00EE30DB"/>
    <w:rsid w:val="00EE3406"/>
    <w:rsid w:val="00EE37DE"/>
    <w:rsid w:val="00EE3CAB"/>
    <w:rsid w:val="00EE3CF9"/>
    <w:rsid w:val="00EE3E5E"/>
    <w:rsid w:val="00EE411E"/>
    <w:rsid w:val="00EE417F"/>
    <w:rsid w:val="00EE4658"/>
    <w:rsid w:val="00EE4C88"/>
    <w:rsid w:val="00EE4CEE"/>
    <w:rsid w:val="00EE4E4F"/>
    <w:rsid w:val="00EE4FC4"/>
    <w:rsid w:val="00EE5210"/>
    <w:rsid w:val="00EE56E1"/>
    <w:rsid w:val="00EE5F45"/>
    <w:rsid w:val="00EE6056"/>
    <w:rsid w:val="00EE6E24"/>
    <w:rsid w:val="00EE7011"/>
    <w:rsid w:val="00EE73B3"/>
    <w:rsid w:val="00EF01C8"/>
    <w:rsid w:val="00EF0301"/>
    <w:rsid w:val="00EF067C"/>
    <w:rsid w:val="00EF09AC"/>
    <w:rsid w:val="00EF0D12"/>
    <w:rsid w:val="00EF1142"/>
    <w:rsid w:val="00EF159E"/>
    <w:rsid w:val="00EF1627"/>
    <w:rsid w:val="00EF235C"/>
    <w:rsid w:val="00EF29A5"/>
    <w:rsid w:val="00EF2A62"/>
    <w:rsid w:val="00EF2ED3"/>
    <w:rsid w:val="00EF380B"/>
    <w:rsid w:val="00EF3893"/>
    <w:rsid w:val="00EF39BF"/>
    <w:rsid w:val="00EF3B97"/>
    <w:rsid w:val="00EF3F42"/>
    <w:rsid w:val="00EF3F5A"/>
    <w:rsid w:val="00EF4098"/>
    <w:rsid w:val="00EF4247"/>
    <w:rsid w:val="00EF431B"/>
    <w:rsid w:val="00EF4634"/>
    <w:rsid w:val="00EF48E2"/>
    <w:rsid w:val="00EF4A7F"/>
    <w:rsid w:val="00EF4D69"/>
    <w:rsid w:val="00EF5DB3"/>
    <w:rsid w:val="00EF6213"/>
    <w:rsid w:val="00EF6387"/>
    <w:rsid w:val="00EF6530"/>
    <w:rsid w:val="00EF6578"/>
    <w:rsid w:val="00EF6966"/>
    <w:rsid w:val="00EF6ACC"/>
    <w:rsid w:val="00EF6E88"/>
    <w:rsid w:val="00EF774F"/>
    <w:rsid w:val="00EF7857"/>
    <w:rsid w:val="00EF7889"/>
    <w:rsid w:val="00F002D7"/>
    <w:rsid w:val="00F0077F"/>
    <w:rsid w:val="00F0080A"/>
    <w:rsid w:val="00F00F24"/>
    <w:rsid w:val="00F010C1"/>
    <w:rsid w:val="00F018C9"/>
    <w:rsid w:val="00F01A32"/>
    <w:rsid w:val="00F01A77"/>
    <w:rsid w:val="00F01D43"/>
    <w:rsid w:val="00F02141"/>
    <w:rsid w:val="00F02904"/>
    <w:rsid w:val="00F02DD5"/>
    <w:rsid w:val="00F02E6A"/>
    <w:rsid w:val="00F02F9A"/>
    <w:rsid w:val="00F03362"/>
    <w:rsid w:val="00F0361E"/>
    <w:rsid w:val="00F03671"/>
    <w:rsid w:val="00F03863"/>
    <w:rsid w:val="00F03F35"/>
    <w:rsid w:val="00F040DC"/>
    <w:rsid w:val="00F04509"/>
    <w:rsid w:val="00F0459E"/>
    <w:rsid w:val="00F04D8F"/>
    <w:rsid w:val="00F05003"/>
    <w:rsid w:val="00F0523B"/>
    <w:rsid w:val="00F0527F"/>
    <w:rsid w:val="00F0646F"/>
    <w:rsid w:val="00F06EC1"/>
    <w:rsid w:val="00F074A0"/>
    <w:rsid w:val="00F074EB"/>
    <w:rsid w:val="00F07FE9"/>
    <w:rsid w:val="00F101C3"/>
    <w:rsid w:val="00F10BD0"/>
    <w:rsid w:val="00F112A4"/>
    <w:rsid w:val="00F115C0"/>
    <w:rsid w:val="00F11DC6"/>
    <w:rsid w:val="00F122AD"/>
    <w:rsid w:val="00F12386"/>
    <w:rsid w:val="00F123B6"/>
    <w:rsid w:val="00F12671"/>
    <w:rsid w:val="00F12969"/>
    <w:rsid w:val="00F12AB3"/>
    <w:rsid w:val="00F12EDD"/>
    <w:rsid w:val="00F13179"/>
    <w:rsid w:val="00F134BA"/>
    <w:rsid w:val="00F134F1"/>
    <w:rsid w:val="00F13B98"/>
    <w:rsid w:val="00F140BC"/>
    <w:rsid w:val="00F1424C"/>
    <w:rsid w:val="00F142A4"/>
    <w:rsid w:val="00F14B4F"/>
    <w:rsid w:val="00F14B9A"/>
    <w:rsid w:val="00F14CEF"/>
    <w:rsid w:val="00F14E8E"/>
    <w:rsid w:val="00F159D9"/>
    <w:rsid w:val="00F15CD9"/>
    <w:rsid w:val="00F16471"/>
    <w:rsid w:val="00F16975"/>
    <w:rsid w:val="00F16BDD"/>
    <w:rsid w:val="00F16EAE"/>
    <w:rsid w:val="00F17830"/>
    <w:rsid w:val="00F17BC9"/>
    <w:rsid w:val="00F17E56"/>
    <w:rsid w:val="00F17EBE"/>
    <w:rsid w:val="00F20316"/>
    <w:rsid w:val="00F208C4"/>
    <w:rsid w:val="00F209C4"/>
    <w:rsid w:val="00F20A90"/>
    <w:rsid w:val="00F20A97"/>
    <w:rsid w:val="00F20BFA"/>
    <w:rsid w:val="00F20C1F"/>
    <w:rsid w:val="00F20FD2"/>
    <w:rsid w:val="00F21247"/>
    <w:rsid w:val="00F21324"/>
    <w:rsid w:val="00F213A6"/>
    <w:rsid w:val="00F21859"/>
    <w:rsid w:val="00F21917"/>
    <w:rsid w:val="00F21927"/>
    <w:rsid w:val="00F21A4C"/>
    <w:rsid w:val="00F21A56"/>
    <w:rsid w:val="00F21EA4"/>
    <w:rsid w:val="00F2202F"/>
    <w:rsid w:val="00F222D2"/>
    <w:rsid w:val="00F22AB0"/>
    <w:rsid w:val="00F22C7E"/>
    <w:rsid w:val="00F22DEE"/>
    <w:rsid w:val="00F232FE"/>
    <w:rsid w:val="00F23F3C"/>
    <w:rsid w:val="00F23F52"/>
    <w:rsid w:val="00F2443D"/>
    <w:rsid w:val="00F24AF0"/>
    <w:rsid w:val="00F24DBC"/>
    <w:rsid w:val="00F24EE4"/>
    <w:rsid w:val="00F25258"/>
    <w:rsid w:val="00F2560F"/>
    <w:rsid w:val="00F258CB"/>
    <w:rsid w:val="00F25DC3"/>
    <w:rsid w:val="00F25F19"/>
    <w:rsid w:val="00F26000"/>
    <w:rsid w:val="00F261DE"/>
    <w:rsid w:val="00F263BF"/>
    <w:rsid w:val="00F26637"/>
    <w:rsid w:val="00F26BB6"/>
    <w:rsid w:val="00F2733E"/>
    <w:rsid w:val="00F273B5"/>
    <w:rsid w:val="00F2752B"/>
    <w:rsid w:val="00F275EA"/>
    <w:rsid w:val="00F27BB9"/>
    <w:rsid w:val="00F3009B"/>
    <w:rsid w:val="00F307E0"/>
    <w:rsid w:val="00F30A15"/>
    <w:rsid w:val="00F30F68"/>
    <w:rsid w:val="00F31071"/>
    <w:rsid w:val="00F3118E"/>
    <w:rsid w:val="00F31421"/>
    <w:rsid w:val="00F31679"/>
    <w:rsid w:val="00F3169D"/>
    <w:rsid w:val="00F317BD"/>
    <w:rsid w:val="00F31CD5"/>
    <w:rsid w:val="00F31EC6"/>
    <w:rsid w:val="00F31FE4"/>
    <w:rsid w:val="00F31FF6"/>
    <w:rsid w:val="00F32350"/>
    <w:rsid w:val="00F32B68"/>
    <w:rsid w:val="00F3338E"/>
    <w:rsid w:val="00F33576"/>
    <w:rsid w:val="00F33BB1"/>
    <w:rsid w:val="00F34120"/>
    <w:rsid w:val="00F3441D"/>
    <w:rsid w:val="00F34434"/>
    <w:rsid w:val="00F344C3"/>
    <w:rsid w:val="00F34593"/>
    <w:rsid w:val="00F345B5"/>
    <w:rsid w:val="00F34AB1"/>
    <w:rsid w:val="00F34C65"/>
    <w:rsid w:val="00F34D09"/>
    <w:rsid w:val="00F35175"/>
    <w:rsid w:val="00F35593"/>
    <w:rsid w:val="00F35C05"/>
    <w:rsid w:val="00F36118"/>
    <w:rsid w:val="00F363B5"/>
    <w:rsid w:val="00F3667E"/>
    <w:rsid w:val="00F36FF8"/>
    <w:rsid w:val="00F3724D"/>
    <w:rsid w:val="00F37A17"/>
    <w:rsid w:val="00F37A84"/>
    <w:rsid w:val="00F37EE4"/>
    <w:rsid w:val="00F405D4"/>
    <w:rsid w:val="00F40B37"/>
    <w:rsid w:val="00F40C1E"/>
    <w:rsid w:val="00F410FA"/>
    <w:rsid w:val="00F4110C"/>
    <w:rsid w:val="00F41E71"/>
    <w:rsid w:val="00F4203D"/>
    <w:rsid w:val="00F42472"/>
    <w:rsid w:val="00F42714"/>
    <w:rsid w:val="00F42C59"/>
    <w:rsid w:val="00F42CFF"/>
    <w:rsid w:val="00F43249"/>
    <w:rsid w:val="00F432DD"/>
    <w:rsid w:val="00F43946"/>
    <w:rsid w:val="00F43997"/>
    <w:rsid w:val="00F43DCB"/>
    <w:rsid w:val="00F43F6E"/>
    <w:rsid w:val="00F443FD"/>
    <w:rsid w:val="00F44827"/>
    <w:rsid w:val="00F450C9"/>
    <w:rsid w:val="00F4553B"/>
    <w:rsid w:val="00F45567"/>
    <w:rsid w:val="00F459D7"/>
    <w:rsid w:val="00F45BE1"/>
    <w:rsid w:val="00F45D7F"/>
    <w:rsid w:val="00F46280"/>
    <w:rsid w:val="00F46EDA"/>
    <w:rsid w:val="00F47287"/>
    <w:rsid w:val="00F47652"/>
    <w:rsid w:val="00F479C0"/>
    <w:rsid w:val="00F47A69"/>
    <w:rsid w:val="00F47E24"/>
    <w:rsid w:val="00F50100"/>
    <w:rsid w:val="00F506F8"/>
    <w:rsid w:val="00F50C6D"/>
    <w:rsid w:val="00F50F37"/>
    <w:rsid w:val="00F51195"/>
    <w:rsid w:val="00F51861"/>
    <w:rsid w:val="00F51C35"/>
    <w:rsid w:val="00F51C7F"/>
    <w:rsid w:val="00F51CBD"/>
    <w:rsid w:val="00F51FFB"/>
    <w:rsid w:val="00F52377"/>
    <w:rsid w:val="00F524EC"/>
    <w:rsid w:val="00F526FE"/>
    <w:rsid w:val="00F528F7"/>
    <w:rsid w:val="00F52A6E"/>
    <w:rsid w:val="00F52DE4"/>
    <w:rsid w:val="00F52EA4"/>
    <w:rsid w:val="00F53AEF"/>
    <w:rsid w:val="00F53C6B"/>
    <w:rsid w:val="00F53CD6"/>
    <w:rsid w:val="00F541EA"/>
    <w:rsid w:val="00F54970"/>
    <w:rsid w:val="00F54CBC"/>
    <w:rsid w:val="00F5512E"/>
    <w:rsid w:val="00F55A98"/>
    <w:rsid w:val="00F565CC"/>
    <w:rsid w:val="00F56B50"/>
    <w:rsid w:val="00F56CC4"/>
    <w:rsid w:val="00F56CF8"/>
    <w:rsid w:val="00F56E30"/>
    <w:rsid w:val="00F57202"/>
    <w:rsid w:val="00F573E8"/>
    <w:rsid w:val="00F574EC"/>
    <w:rsid w:val="00F576B6"/>
    <w:rsid w:val="00F57AF7"/>
    <w:rsid w:val="00F57C66"/>
    <w:rsid w:val="00F57E88"/>
    <w:rsid w:val="00F601CD"/>
    <w:rsid w:val="00F603CC"/>
    <w:rsid w:val="00F607EF"/>
    <w:rsid w:val="00F60B34"/>
    <w:rsid w:val="00F61278"/>
    <w:rsid w:val="00F61861"/>
    <w:rsid w:val="00F61C65"/>
    <w:rsid w:val="00F61D8F"/>
    <w:rsid w:val="00F61DDA"/>
    <w:rsid w:val="00F61FE1"/>
    <w:rsid w:val="00F620D3"/>
    <w:rsid w:val="00F626E2"/>
    <w:rsid w:val="00F62770"/>
    <w:rsid w:val="00F62A7F"/>
    <w:rsid w:val="00F634E1"/>
    <w:rsid w:val="00F63990"/>
    <w:rsid w:val="00F63DC7"/>
    <w:rsid w:val="00F63F56"/>
    <w:rsid w:val="00F644D8"/>
    <w:rsid w:val="00F6492F"/>
    <w:rsid w:val="00F64963"/>
    <w:rsid w:val="00F64DD1"/>
    <w:rsid w:val="00F65C6B"/>
    <w:rsid w:val="00F65DF4"/>
    <w:rsid w:val="00F65EA6"/>
    <w:rsid w:val="00F66428"/>
    <w:rsid w:val="00F667B8"/>
    <w:rsid w:val="00F667E2"/>
    <w:rsid w:val="00F66932"/>
    <w:rsid w:val="00F66A6B"/>
    <w:rsid w:val="00F66BF5"/>
    <w:rsid w:val="00F678BA"/>
    <w:rsid w:val="00F70169"/>
    <w:rsid w:val="00F705B0"/>
    <w:rsid w:val="00F706C9"/>
    <w:rsid w:val="00F70922"/>
    <w:rsid w:val="00F70B89"/>
    <w:rsid w:val="00F70B8A"/>
    <w:rsid w:val="00F70C55"/>
    <w:rsid w:val="00F71516"/>
    <w:rsid w:val="00F71C65"/>
    <w:rsid w:val="00F71D48"/>
    <w:rsid w:val="00F71FFF"/>
    <w:rsid w:val="00F72416"/>
    <w:rsid w:val="00F72703"/>
    <w:rsid w:val="00F72A5F"/>
    <w:rsid w:val="00F72A60"/>
    <w:rsid w:val="00F72F43"/>
    <w:rsid w:val="00F731EF"/>
    <w:rsid w:val="00F73768"/>
    <w:rsid w:val="00F741F3"/>
    <w:rsid w:val="00F74431"/>
    <w:rsid w:val="00F74CEB"/>
    <w:rsid w:val="00F75182"/>
    <w:rsid w:val="00F754A4"/>
    <w:rsid w:val="00F7562A"/>
    <w:rsid w:val="00F75ABF"/>
    <w:rsid w:val="00F76AD1"/>
    <w:rsid w:val="00F773BF"/>
    <w:rsid w:val="00F7741E"/>
    <w:rsid w:val="00F77D24"/>
    <w:rsid w:val="00F8076A"/>
    <w:rsid w:val="00F8092E"/>
    <w:rsid w:val="00F8096C"/>
    <w:rsid w:val="00F80997"/>
    <w:rsid w:val="00F811CE"/>
    <w:rsid w:val="00F813D0"/>
    <w:rsid w:val="00F81565"/>
    <w:rsid w:val="00F8180E"/>
    <w:rsid w:val="00F81BD2"/>
    <w:rsid w:val="00F81D39"/>
    <w:rsid w:val="00F8202D"/>
    <w:rsid w:val="00F822B4"/>
    <w:rsid w:val="00F834EC"/>
    <w:rsid w:val="00F83868"/>
    <w:rsid w:val="00F838F1"/>
    <w:rsid w:val="00F84045"/>
    <w:rsid w:val="00F84695"/>
    <w:rsid w:val="00F84733"/>
    <w:rsid w:val="00F84940"/>
    <w:rsid w:val="00F84A16"/>
    <w:rsid w:val="00F84AE2"/>
    <w:rsid w:val="00F84B9A"/>
    <w:rsid w:val="00F8568D"/>
    <w:rsid w:val="00F85818"/>
    <w:rsid w:val="00F85DFD"/>
    <w:rsid w:val="00F85EA1"/>
    <w:rsid w:val="00F863D2"/>
    <w:rsid w:val="00F86D02"/>
    <w:rsid w:val="00F86F40"/>
    <w:rsid w:val="00F87696"/>
    <w:rsid w:val="00F877D5"/>
    <w:rsid w:val="00F87997"/>
    <w:rsid w:val="00F87CA4"/>
    <w:rsid w:val="00F90A06"/>
    <w:rsid w:val="00F90F7B"/>
    <w:rsid w:val="00F91042"/>
    <w:rsid w:val="00F91643"/>
    <w:rsid w:val="00F91C9C"/>
    <w:rsid w:val="00F925CD"/>
    <w:rsid w:val="00F925FB"/>
    <w:rsid w:val="00F92650"/>
    <w:rsid w:val="00F92AE7"/>
    <w:rsid w:val="00F92ED2"/>
    <w:rsid w:val="00F93172"/>
    <w:rsid w:val="00F9357B"/>
    <w:rsid w:val="00F93B50"/>
    <w:rsid w:val="00F9430F"/>
    <w:rsid w:val="00F946D4"/>
    <w:rsid w:val="00F9476A"/>
    <w:rsid w:val="00F94AF8"/>
    <w:rsid w:val="00F94D3C"/>
    <w:rsid w:val="00F94D46"/>
    <w:rsid w:val="00F94E19"/>
    <w:rsid w:val="00F95526"/>
    <w:rsid w:val="00F95C78"/>
    <w:rsid w:val="00F95F86"/>
    <w:rsid w:val="00F9605C"/>
    <w:rsid w:val="00F964A8"/>
    <w:rsid w:val="00F9674C"/>
    <w:rsid w:val="00F969DF"/>
    <w:rsid w:val="00F97E90"/>
    <w:rsid w:val="00FA02B1"/>
    <w:rsid w:val="00FA047F"/>
    <w:rsid w:val="00FA0EB5"/>
    <w:rsid w:val="00FA125F"/>
    <w:rsid w:val="00FA12D1"/>
    <w:rsid w:val="00FA1478"/>
    <w:rsid w:val="00FA1586"/>
    <w:rsid w:val="00FA1595"/>
    <w:rsid w:val="00FA15F9"/>
    <w:rsid w:val="00FA164A"/>
    <w:rsid w:val="00FA195D"/>
    <w:rsid w:val="00FA1F38"/>
    <w:rsid w:val="00FA1FE2"/>
    <w:rsid w:val="00FA224F"/>
    <w:rsid w:val="00FA289E"/>
    <w:rsid w:val="00FA2B63"/>
    <w:rsid w:val="00FA2BA5"/>
    <w:rsid w:val="00FA2ED2"/>
    <w:rsid w:val="00FA3363"/>
    <w:rsid w:val="00FA346E"/>
    <w:rsid w:val="00FA352A"/>
    <w:rsid w:val="00FA357D"/>
    <w:rsid w:val="00FA35A6"/>
    <w:rsid w:val="00FA394F"/>
    <w:rsid w:val="00FA3BBE"/>
    <w:rsid w:val="00FA45BA"/>
    <w:rsid w:val="00FA4649"/>
    <w:rsid w:val="00FA4737"/>
    <w:rsid w:val="00FA47D3"/>
    <w:rsid w:val="00FA4D51"/>
    <w:rsid w:val="00FA5107"/>
    <w:rsid w:val="00FA54BB"/>
    <w:rsid w:val="00FA55EE"/>
    <w:rsid w:val="00FA5607"/>
    <w:rsid w:val="00FA56EE"/>
    <w:rsid w:val="00FA6519"/>
    <w:rsid w:val="00FA6766"/>
    <w:rsid w:val="00FA694D"/>
    <w:rsid w:val="00FA6DD8"/>
    <w:rsid w:val="00FA6F4A"/>
    <w:rsid w:val="00FA717F"/>
    <w:rsid w:val="00FA72A5"/>
    <w:rsid w:val="00FA76F2"/>
    <w:rsid w:val="00FA77E6"/>
    <w:rsid w:val="00FB03C4"/>
    <w:rsid w:val="00FB0893"/>
    <w:rsid w:val="00FB0926"/>
    <w:rsid w:val="00FB0C89"/>
    <w:rsid w:val="00FB0D41"/>
    <w:rsid w:val="00FB105F"/>
    <w:rsid w:val="00FB14DE"/>
    <w:rsid w:val="00FB1B3D"/>
    <w:rsid w:val="00FB209F"/>
    <w:rsid w:val="00FB2122"/>
    <w:rsid w:val="00FB2457"/>
    <w:rsid w:val="00FB24D0"/>
    <w:rsid w:val="00FB2C1A"/>
    <w:rsid w:val="00FB2C5F"/>
    <w:rsid w:val="00FB3136"/>
    <w:rsid w:val="00FB3567"/>
    <w:rsid w:val="00FB3701"/>
    <w:rsid w:val="00FB3B8B"/>
    <w:rsid w:val="00FB44B8"/>
    <w:rsid w:val="00FB4A13"/>
    <w:rsid w:val="00FB4A38"/>
    <w:rsid w:val="00FB5168"/>
    <w:rsid w:val="00FB526D"/>
    <w:rsid w:val="00FB54F5"/>
    <w:rsid w:val="00FB57D6"/>
    <w:rsid w:val="00FB5C91"/>
    <w:rsid w:val="00FB629C"/>
    <w:rsid w:val="00FB665C"/>
    <w:rsid w:val="00FB6683"/>
    <w:rsid w:val="00FB6FA6"/>
    <w:rsid w:val="00FB70C6"/>
    <w:rsid w:val="00FB7A1C"/>
    <w:rsid w:val="00FB7BD2"/>
    <w:rsid w:val="00FC00D2"/>
    <w:rsid w:val="00FC025C"/>
    <w:rsid w:val="00FC02F0"/>
    <w:rsid w:val="00FC04FC"/>
    <w:rsid w:val="00FC0832"/>
    <w:rsid w:val="00FC08D6"/>
    <w:rsid w:val="00FC11E6"/>
    <w:rsid w:val="00FC130D"/>
    <w:rsid w:val="00FC1716"/>
    <w:rsid w:val="00FC189C"/>
    <w:rsid w:val="00FC1B43"/>
    <w:rsid w:val="00FC1D36"/>
    <w:rsid w:val="00FC26F3"/>
    <w:rsid w:val="00FC2719"/>
    <w:rsid w:val="00FC2872"/>
    <w:rsid w:val="00FC2C58"/>
    <w:rsid w:val="00FC2D42"/>
    <w:rsid w:val="00FC2D8F"/>
    <w:rsid w:val="00FC399D"/>
    <w:rsid w:val="00FC3B45"/>
    <w:rsid w:val="00FC3B7F"/>
    <w:rsid w:val="00FC43A4"/>
    <w:rsid w:val="00FC4569"/>
    <w:rsid w:val="00FC4C51"/>
    <w:rsid w:val="00FC4C91"/>
    <w:rsid w:val="00FC5095"/>
    <w:rsid w:val="00FC5E8F"/>
    <w:rsid w:val="00FC6627"/>
    <w:rsid w:val="00FC68FC"/>
    <w:rsid w:val="00FC6BDF"/>
    <w:rsid w:val="00FC6F63"/>
    <w:rsid w:val="00FC78C1"/>
    <w:rsid w:val="00FC7FB1"/>
    <w:rsid w:val="00FD01D1"/>
    <w:rsid w:val="00FD02AF"/>
    <w:rsid w:val="00FD0324"/>
    <w:rsid w:val="00FD05FF"/>
    <w:rsid w:val="00FD070C"/>
    <w:rsid w:val="00FD0825"/>
    <w:rsid w:val="00FD0B99"/>
    <w:rsid w:val="00FD0EA5"/>
    <w:rsid w:val="00FD10B5"/>
    <w:rsid w:val="00FD1133"/>
    <w:rsid w:val="00FD14BE"/>
    <w:rsid w:val="00FD1A93"/>
    <w:rsid w:val="00FD1E7E"/>
    <w:rsid w:val="00FD1EAA"/>
    <w:rsid w:val="00FD1F1F"/>
    <w:rsid w:val="00FD1FBC"/>
    <w:rsid w:val="00FD20E7"/>
    <w:rsid w:val="00FD2435"/>
    <w:rsid w:val="00FD24CE"/>
    <w:rsid w:val="00FD28EA"/>
    <w:rsid w:val="00FD2ABA"/>
    <w:rsid w:val="00FD2AC9"/>
    <w:rsid w:val="00FD2CCF"/>
    <w:rsid w:val="00FD2E4A"/>
    <w:rsid w:val="00FD2F51"/>
    <w:rsid w:val="00FD303D"/>
    <w:rsid w:val="00FD45CB"/>
    <w:rsid w:val="00FD4891"/>
    <w:rsid w:val="00FD506F"/>
    <w:rsid w:val="00FD5385"/>
    <w:rsid w:val="00FD56B7"/>
    <w:rsid w:val="00FD56CF"/>
    <w:rsid w:val="00FD66C9"/>
    <w:rsid w:val="00FD6918"/>
    <w:rsid w:val="00FD738E"/>
    <w:rsid w:val="00FD7479"/>
    <w:rsid w:val="00FD7F5B"/>
    <w:rsid w:val="00FE02C3"/>
    <w:rsid w:val="00FE04CF"/>
    <w:rsid w:val="00FE09D3"/>
    <w:rsid w:val="00FE0A48"/>
    <w:rsid w:val="00FE142E"/>
    <w:rsid w:val="00FE19F6"/>
    <w:rsid w:val="00FE1D17"/>
    <w:rsid w:val="00FE1FD5"/>
    <w:rsid w:val="00FE2D3E"/>
    <w:rsid w:val="00FE2E4A"/>
    <w:rsid w:val="00FE410F"/>
    <w:rsid w:val="00FE41B1"/>
    <w:rsid w:val="00FE4627"/>
    <w:rsid w:val="00FE54A7"/>
    <w:rsid w:val="00FE5877"/>
    <w:rsid w:val="00FE5FB8"/>
    <w:rsid w:val="00FE6248"/>
    <w:rsid w:val="00FE66B2"/>
    <w:rsid w:val="00FE678F"/>
    <w:rsid w:val="00FE6B6C"/>
    <w:rsid w:val="00FE6FD1"/>
    <w:rsid w:val="00FE715B"/>
    <w:rsid w:val="00FE71EB"/>
    <w:rsid w:val="00FE743F"/>
    <w:rsid w:val="00FE7F61"/>
    <w:rsid w:val="00FF01A5"/>
    <w:rsid w:val="00FF03C6"/>
    <w:rsid w:val="00FF0528"/>
    <w:rsid w:val="00FF0AB1"/>
    <w:rsid w:val="00FF0E17"/>
    <w:rsid w:val="00FF1094"/>
    <w:rsid w:val="00FF16C8"/>
    <w:rsid w:val="00FF18EF"/>
    <w:rsid w:val="00FF1CB8"/>
    <w:rsid w:val="00FF1D46"/>
    <w:rsid w:val="00FF1F7A"/>
    <w:rsid w:val="00FF22CA"/>
    <w:rsid w:val="00FF2C9C"/>
    <w:rsid w:val="00FF2D75"/>
    <w:rsid w:val="00FF35D9"/>
    <w:rsid w:val="00FF372B"/>
    <w:rsid w:val="00FF3FF1"/>
    <w:rsid w:val="00FF4472"/>
    <w:rsid w:val="00FF4525"/>
    <w:rsid w:val="00FF4685"/>
    <w:rsid w:val="00FF47A5"/>
    <w:rsid w:val="00FF484B"/>
    <w:rsid w:val="00FF4885"/>
    <w:rsid w:val="00FF4A71"/>
    <w:rsid w:val="00FF4B4E"/>
    <w:rsid w:val="00FF4DA9"/>
    <w:rsid w:val="00FF4ED5"/>
    <w:rsid w:val="00FF53ED"/>
    <w:rsid w:val="00FF598B"/>
    <w:rsid w:val="00FF5C76"/>
    <w:rsid w:val="00FF61B5"/>
    <w:rsid w:val="00FF6268"/>
    <w:rsid w:val="00FF6276"/>
    <w:rsid w:val="00FF651E"/>
    <w:rsid w:val="00FF69A5"/>
    <w:rsid w:val="00FF6E8E"/>
    <w:rsid w:val="00FF7037"/>
    <w:rsid w:val="00FF7504"/>
    <w:rsid w:val="00FF7660"/>
    <w:rsid w:val="2A14E56B"/>
    <w:rsid w:val="3C14EF59"/>
    <w:rsid w:val="73081F88"/>
    <w:rsid w:val="73CC06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ACF482"/>
  <w15:docId w15:val="{04A58AC9-8EC6-485D-AC9D-FB16C6B9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C41866"/>
    <w:rPr>
      <w:sz w:val="24"/>
      <w:szCs w:val="24"/>
      <w:lang w:val="en-GB" w:eastAsia="fr-FR"/>
    </w:rPr>
  </w:style>
  <w:style w:type="paragraph" w:styleId="Titolo1">
    <w:name w:val="heading 1"/>
    <w:basedOn w:val="Normale"/>
    <w:next w:val="Normale"/>
    <w:link w:val="Titolo1Carattere"/>
    <w:uiPriority w:val="9"/>
    <w:rsid w:val="001F14FD"/>
    <w:pPr>
      <w:keepNext/>
      <w:numPr>
        <w:numId w:val="1"/>
      </w:numPr>
      <w:outlineLvl w:val="0"/>
    </w:pPr>
    <w:rPr>
      <w:b/>
      <w:u w:val="single"/>
    </w:rPr>
  </w:style>
  <w:style w:type="paragraph" w:styleId="Titolo2">
    <w:name w:val="heading 2"/>
    <w:aliases w:val="-E Überschrift 2,(SubSection)"/>
    <w:basedOn w:val="Normale"/>
    <w:next w:val="Normale"/>
    <w:link w:val="Titolo2Carattere"/>
    <w:rsid w:val="001F14FD"/>
    <w:pPr>
      <w:keepNext/>
      <w:numPr>
        <w:ilvl w:val="1"/>
        <w:numId w:val="2"/>
      </w:numPr>
      <w:spacing w:before="240" w:after="60"/>
      <w:outlineLvl w:val="1"/>
    </w:pPr>
    <w:rPr>
      <w:rFonts w:ascii="Arial" w:hAnsi="Arial" w:cs="Arial"/>
      <w:b/>
      <w:bCs/>
      <w:i/>
      <w:iCs/>
      <w:sz w:val="28"/>
      <w:szCs w:val="28"/>
    </w:rPr>
  </w:style>
  <w:style w:type="paragraph" w:styleId="Titolo3">
    <w:name w:val="heading 3"/>
    <w:aliases w:val="-E Überschrift 3"/>
    <w:basedOn w:val="Normale"/>
    <w:next w:val="Normale"/>
    <w:link w:val="Titolo3Carattere"/>
    <w:rsid w:val="001F14FD"/>
    <w:pPr>
      <w:keepNext/>
      <w:numPr>
        <w:ilvl w:val="2"/>
        <w:numId w:val="2"/>
      </w:numPr>
      <w:spacing w:before="240" w:after="60"/>
      <w:outlineLvl w:val="2"/>
    </w:pPr>
    <w:rPr>
      <w:rFonts w:ascii="Arial" w:hAnsi="Arial" w:cs="Arial"/>
      <w:b/>
      <w:bCs/>
      <w:sz w:val="26"/>
      <w:szCs w:val="26"/>
    </w:rPr>
  </w:style>
  <w:style w:type="paragraph" w:styleId="Titolo4">
    <w:name w:val="heading 4"/>
    <w:basedOn w:val="Normale"/>
    <w:next w:val="Normale"/>
    <w:link w:val="Titolo4Carattere"/>
    <w:rsid w:val="001F14FD"/>
    <w:pPr>
      <w:keepNext/>
      <w:numPr>
        <w:ilvl w:val="3"/>
        <w:numId w:val="2"/>
      </w:numPr>
      <w:spacing w:before="240" w:after="60"/>
      <w:outlineLvl w:val="3"/>
    </w:pPr>
    <w:rPr>
      <w:b/>
      <w:bCs/>
      <w:sz w:val="28"/>
      <w:szCs w:val="28"/>
    </w:rPr>
  </w:style>
  <w:style w:type="paragraph" w:styleId="Titolo5">
    <w:name w:val="heading 5"/>
    <w:basedOn w:val="Normale"/>
    <w:next w:val="Normale"/>
    <w:rsid w:val="001F14FD"/>
    <w:pPr>
      <w:numPr>
        <w:ilvl w:val="4"/>
        <w:numId w:val="2"/>
      </w:numPr>
      <w:spacing w:before="240" w:after="60"/>
      <w:outlineLvl w:val="4"/>
    </w:pPr>
    <w:rPr>
      <w:b/>
      <w:bCs/>
      <w:i/>
      <w:iCs/>
      <w:sz w:val="26"/>
      <w:szCs w:val="26"/>
    </w:rPr>
  </w:style>
  <w:style w:type="paragraph" w:styleId="Titolo6">
    <w:name w:val="heading 6"/>
    <w:basedOn w:val="Normale"/>
    <w:next w:val="Normale"/>
    <w:rsid w:val="001F14FD"/>
    <w:pPr>
      <w:numPr>
        <w:ilvl w:val="5"/>
        <w:numId w:val="2"/>
      </w:numPr>
      <w:spacing w:before="240" w:after="60"/>
      <w:outlineLvl w:val="5"/>
    </w:pPr>
    <w:rPr>
      <w:b/>
      <w:bCs/>
      <w:sz w:val="22"/>
      <w:szCs w:val="22"/>
    </w:rPr>
  </w:style>
  <w:style w:type="paragraph" w:styleId="Titolo7">
    <w:name w:val="heading 7"/>
    <w:basedOn w:val="Normale"/>
    <w:next w:val="Normale"/>
    <w:rsid w:val="001F14FD"/>
    <w:pPr>
      <w:numPr>
        <w:ilvl w:val="6"/>
        <w:numId w:val="2"/>
      </w:numPr>
      <w:spacing w:before="240" w:after="60"/>
      <w:outlineLvl w:val="6"/>
    </w:pPr>
  </w:style>
  <w:style w:type="paragraph" w:styleId="Titolo8">
    <w:name w:val="heading 8"/>
    <w:basedOn w:val="Normale"/>
    <w:next w:val="Normale"/>
    <w:rsid w:val="001F14FD"/>
    <w:pPr>
      <w:numPr>
        <w:ilvl w:val="7"/>
        <w:numId w:val="2"/>
      </w:numPr>
      <w:spacing w:before="240" w:after="60"/>
      <w:outlineLvl w:val="7"/>
    </w:pPr>
    <w:rPr>
      <w:i/>
      <w:iCs/>
    </w:rPr>
  </w:style>
  <w:style w:type="paragraph" w:styleId="Titolo9">
    <w:name w:val="heading 9"/>
    <w:basedOn w:val="Normale"/>
    <w:next w:val="Normale"/>
    <w:rsid w:val="001F14FD"/>
    <w:pPr>
      <w:numPr>
        <w:ilvl w:val="8"/>
        <w:numId w:val="2"/>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1F14FD"/>
    <w:pPr>
      <w:tabs>
        <w:tab w:val="center" w:pos="4536"/>
        <w:tab w:val="right" w:pos="9072"/>
      </w:tabs>
    </w:pPr>
  </w:style>
  <w:style w:type="character" w:styleId="Numeropagina">
    <w:name w:val="page number"/>
    <w:basedOn w:val="Carpredefinitoparagrafo"/>
    <w:rsid w:val="001F14FD"/>
  </w:style>
  <w:style w:type="paragraph" w:styleId="Corpotesto">
    <w:name w:val="Body Text"/>
    <w:basedOn w:val="Normale"/>
    <w:rsid w:val="001F14FD"/>
  </w:style>
  <w:style w:type="character" w:styleId="Collegamentoipertestuale">
    <w:name w:val="Hyperlink"/>
    <w:uiPriority w:val="99"/>
    <w:rsid w:val="001F14FD"/>
    <w:rPr>
      <w:color w:val="0000FF"/>
      <w:u w:val="single"/>
    </w:rPr>
  </w:style>
  <w:style w:type="paragraph" w:styleId="Testodelblocco">
    <w:name w:val="Block Text"/>
    <w:basedOn w:val="Normale"/>
    <w:rsid w:val="001F14FD"/>
    <w:pPr>
      <w:tabs>
        <w:tab w:val="left" w:pos="0"/>
      </w:tabs>
      <w:suppressAutoHyphens/>
      <w:ind w:left="340" w:right="340"/>
      <w:jc w:val="both"/>
    </w:pPr>
    <w:rPr>
      <w:lang w:val="es-ES_tradnl"/>
    </w:rPr>
  </w:style>
  <w:style w:type="paragraph" w:styleId="Sommario1">
    <w:name w:val="toc 1"/>
    <w:basedOn w:val="Normale"/>
    <w:next w:val="Normale"/>
    <w:autoRedefine/>
    <w:uiPriority w:val="39"/>
    <w:rsid w:val="006E385B"/>
    <w:pPr>
      <w:tabs>
        <w:tab w:val="left" w:pos="480"/>
        <w:tab w:val="right" w:leader="dot" w:pos="9060"/>
      </w:tabs>
      <w:spacing w:before="240" w:after="120"/>
      <w:ind w:left="425" w:hanging="425"/>
    </w:pPr>
    <w:rPr>
      <w:rFonts w:ascii="Arial" w:hAnsi="Arial"/>
      <w:b/>
      <w:bCs/>
      <w:noProof/>
      <w:szCs w:val="22"/>
    </w:rPr>
  </w:style>
  <w:style w:type="paragraph" w:styleId="Sommario2">
    <w:name w:val="toc 2"/>
    <w:basedOn w:val="Normale"/>
    <w:next w:val="Normale"/>
    <w:autoRedefine/>
    <w:uiPriority w:val="39"/>
    <w:rsid w:val="00C73905"/>
    <w:pPr>
      <w:tabs>
        <w:tab w:val="left" w:pos="1134"/>
        <w:tab w:val="right" w:leader="dot" w:pos="9062"/>
      </w:tabs>
      <w:spacing w:before="120" w:after="60"/>
      <w:ind w:left="425"/>
    </w:pPr>
    <w:rPr>
      <w:rFonts w:ascii="Arial" w:hAnsi="Arial"/>
      <w:noProof/>
      <w:szCs w:val="22"/>
      <w14:scene3d>
        <w14:camera w14:prst="orthographicFront"/>
        <w14:lightRig w14:rig="threePt" w14:dir="t">
          <w14:rot w14:lat="0" w14:lon="0" w14:rev="0"/>
        </w14:lightRig>
      </w14:scene3d>
    </w:rPr>
  </w:style>
  <w:style w:type="paragraph" w:styleId="NormaleWeb">
    <w:name w:val="Normal (Web)"/>
    <w:basedOn w:val="Normale"/>
    <w:uiPriority w:val="99"/>
    <w:rsid w:val="001F14FD"/>
    <w:pPr>
      <w:spacing w:before="100" w:beforeAutospacing="1" w:after="100" w:afterAutospacing="1"/>
    </w:pPr>
    <w:rPr>
      <w:rFonts w:ascii="Arial" w:hAnsi="Arial" w:cs="Arial"/>
      <w:color w:val="000066"/>
    </w:rPr>
  </w:style>
  <w:style w:type="paragraph" w:styleId="Intestazione">
    <w:name w:val="header"/>
    <w:basedOn w:val="Normale"/>
    <w:link w:val="IntestazioneCarattere"/>
    <w:rsid w:val="001F14FD"/>
    <w:pPr>
      <w:tabs>
        <w:tab w:val="center" w:pos="4153"/>
        <w:tab w:val="right" w:pos="8306"/>
      </w:tabs>
    </w:pPr>
  </w:style>
  <w:style w:type="paragraph" w:styleId="Sommario3">
    <w:name w:val="toc 3"/>
    <w:basedOn w:val="Normale"/>
    <w:next w:val="Normale"/>
    <w:autoRedefine/>
    <w:uiPriority w:val="39"/>
    <w:rsid w:val="00C73905"/>
    <w:pPr>
      <w:tabs>
        <w:tab w:val="left" w:pos="1985"/>
        <w:tab w:val="right" w:leader="dot" w:pos="9060"/>
      </w:tabs>
      <w:ind w:left="1985" w:hanging="851"/>
    </w:pPr>
    <w:rPr>
      <w:rFonts w:ascii="Arial" w:hAnsi="Arial"/>
      <w:sz w:val="22"/>
    </w:rPr>
  </w:style>
  <w:style w:type="table" w:styleId="Grigliatabella">
    <w:name w:val="Table Grid"/>
    <w:basedOn w:val="Tabellanormale"/>
    <w:uiPriority w:val="59"/>
    <w:rsid w:val="001F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rsid w:val="003354D3"/>
    <w:pPr>
      <w:spacing w:after="120"/>
    </w:pPr>
    <w:rPr>
      <w:sz w:val="16"/>
      <w:szCs w:val="16"/>
    </w:rPr>
  </w:style>
  <w:style w:type="character" w:styleId="Rimandocommento">
    <w:name w:val="annotation reference"/>
    <w:uiPriority w:val="99"/>
    <w:rsid w:val="00AD1D11"/>
    <w:rPr>
      <w:sz w:val="16"/>
      <w:szCs w:val="16"/>
    </w:rPr>
  </w:style>
  <w:style w:type="paragraph" w:styleId="Testocommento">
    <w:name w:val="annotation text"/>
    <w:basedOn w:val="Normale"/>
    <w:link w:val="TestocommentoCarattere"/>
    <w:uiPriority w:val="99"/>
    <w:rsid w:val="00AD1D11"/>
  </w:style>
  <w:style w:type="paragraph" w:styleId="Soggettocommento">
    <w:name w:val="annotation subject"/>
    <w:basedOn w:val="Testocommento"/>
    <w:next w:val="Testocommento"/>
    <w:semiHidden/>
    <w:rsid w:val="00AD1D11"/>
    <w:rPr>
      <w:b/>
      <w:bCs/>
    </w:rPr>
  </w:style>
  <w:style w:type="paragraph" w:styleId="Testofumetto">
    <w:name w:val="Balloon Text"/>
    <w:basedOn w:val="Normale"/>
    <w:semiHidden/>
    <w:rsid w:val="00AD1D11"/>
    <w:rPr>
      <w:rFonts w:ascii="Tahoma" w:hAnsi="Tahoma" w:cs="Tahoma"/>
      <w:sz w:val="16"/>
      <w:szCs w:val="16"/>
    </w:rPr>
  </w:style>
  <w:style w:type="character" w:styleId="Enfasigrassetto">
    <w:name w:val="Strong"/>
    <w:uiPriority w:val="22"/>
    <w:rsid w:val="00C22B2E"/>
    <w:rPr>
      <w:b/>
      <w:bCs/>
    </w:rPr>
  </w:style>
  <w:style w:type="character" w:styleId="Rimandonotaapidipagina">
    <w:name w:val="footnote reference"/>
    <w:aliases w:val="Footnote Refernece,BVI fnr,callout,16 Point,Superscript 6 Point,Odwołanie przypisu,Footnote symbol,Footnote Reference Number,Footnote Reference Superscript,SUPERS,Times 10 Point,Exposant 3 Point,Ref,de nota al pie,number,FR"/>
    <w:link w:val="BVIfnrCharCharCharChar"/>
    <w:uiPriority w:val="99"/>
    <w:qFormat/>
    <w:rsid w:val="00AF30D7"/>
    <w:rPr>
      <w:rFonts w:ascii="Times New Roman" w:hAnsi="Times New Roman"/>
      <w:sz w:val="16"/>
      <w:vertAlign w:val="superscript"/>
    </w:rPr>
  </w:style>
  <w:style w:type="paragraph" w:styleId="Paragrafoelenco">
    <w:name w:val="List Paragraph"/>
    <w:aliases w:val="Sub-heading 2,Heading 2_sj,List Paragraph1,Lijstalinea,Fünf"/>
    <w:basedOn w:val="Normale"/>
    <w:link w:val="ParagrafoelencoCarattere"/>
    <w:uiPriority w:val="34"/>
    <w:qFormat/>
    <w:rsid w:val="00433934"/>
    <w:pPr>
      <w:keepLines/>
      <w:widowControl w:val="0"/>
      <w:contextualSpacing/>
      <w:jc w:val="both"/>
    </w:pPr>
    <w:rPr>
      <w:rFonts w:ascii="Century Gothic" w:hAnsi="Century Gothic"/>
      <w:b/>
      <w:szCs w:val="18"/>
    </w:rPr>
  </w:style>
  <w:style w:type="paragraph" w:styleId="Testonotaapidipagina">
    <w:name w:val="footnote text"/>
    <w:aliases w:val="Footnote style,footnotes,Footnote Text Char2 Char,Footnote Text Char Char1 Char,Footnote Text Char2 Char Char Char,Footnote Text Char1 Char Char Char Char,Footnote Text Char Char Char Char Char Char,tizesesTNRoman,FA,fn,FA F"/>
    <w:basedOn w:val="Normale"/>
    <w:link w:val="TestonotaapidipaginaCarattere"/>
    <w:uiPriority w:val="99"/>
    <w:qFormat/>
    <w:rsid w:val="003E744B"/>
    <w:pPr>
      <w:spacing w:after="60"/>
      <w:ind w:left="284" w:hanging="284"/>
    </w:pPr>
    <w:rPr>
      <w:rFonts w:ascii="Arial" w:hAnsi="Arial"/>
      <w:sz w:val="16"/>
      <w:szCs w:val="22"/>
    </w:rPr>
  </w:style>
  <w:style w:type="character" w:customStyle="1" w:styleId="TestonotaapidipaginaCarattere">
    <w:name w:val="Testo nota a piè di pagina Carattere"/>
    <w:aliases w:val="Footnote style Carattere,footnotes Carattere,Footnote Text Char2 Char Carattere,Footnote Text Char Char1 Char Carattere,Footnote Text Char2 Char Char Char Carattere,Footnote Text Char1 Char Char Char Char Carattere"/>
    <w:link w:val="Testonotaapidipagina"/>
    <w:uiPriority w:val="99"/>
    <w:qFormat/>
    <w:rsid w:val="003E744B"/>
    <w:rPr>
      <w:rFonts w:ascii="Arial" w:hAnsi="Arial"/>
      <w:sz w:val="16"/>
      <w:szCs w:val="22"/>
    </w:rPr>
  </w:style>
  <w:style w:type="character" w:styleId="Enfasicorsivo">
    <w:name w:val="Emphasis"/>
    <w:uiPriority w:val="20"/>
    <w:qFormat/>
    <w:rsid w:val="005703D4"/>
    <w:rPr>
      <w:i/>
    </w:rPr>
  </w:style>
  <w:style w:type="paragraph" w:customStyle="1" w:styleId="Default">
    <w:name w:val="Default"/>
    <w:rsid w:val="005703D4"/>
    <w:pPr>
      <w:autoSpaceDE w:val="0"/>
      <w:autoSpaceDN w:val="0"/>
      <w:adjustRightInd w:val="0"/>
    </w:pPr>
    <w:rPr>
      <w:rFonts w:ascii="EUAlbertina" w:eastAsia="Calibri" w:hAnsi="EUAlbertina" w:cs="EUAlbertina"/>
      <w:color w:val="000000"/>
      <w:sz w:val="24"/>
      <w:szCs w:val="24"/>
      <w:lang w:val="fr-BE"/>
    </w:rPr>
  </w:style>
  <w:style w:type="paragraph" w:customStyle="1" w:styleId="MBT">
    <w:name w:val="M BT"/>
    <w:basedOn w:val="Normale"/>
    <w:link w:val="MBTChar"/>
    <w:qFormat/>
    <w:rsid w:val="000C27A0"/>
    <w:pPr>
      <w:widowControl w:val="0"/>
      <w:spacing w:before="120" w:after="120"/>
      <w:jc w:val="both"/>
    </w:pPr>
    <w:rPr>
      <w:rFonts w:ascii="Arial" w:hAnsi="Arial"/>
      <w:bCs/>
      <w:sz w:val="22"/>
      <w:szCs w:val="22"/>
    </w:rPr>
  </w:style>
  <w:style w:type="paragraph" w:customStyle="1" w:styleId="MH1">
    <w:name w:val="M H 1"/>
    <w:basedOn w:val="Titolo1"/>
    <w:next w:val="MBT"/>
    <w:link w:val="MH1Char"/>
    <w:qFormat/>
    <w:rsid w:val="00B1706F"/>
    <w:pPr>
      <w:pageBreakBefore/>
      <w:numPr>
        <w:numId w:val="2"/>
      </w:numPr>
      <w:shd w:val="clear" w:color="auto" w:fill="FFFFFF" w:themeFill="background1"/>
      <w:spacing w:before="120" w:after="240"/>
      <w:jc w:val="both"/>
    </w:pPr>
    <w:rPr>
      <w:rFonts w:ascii="Arial" w:hAnsi="Arial"/>
      <w:b w:val="0"/>
      <w:color w:val="7AB800"/>
      <w:sz w:val="36"/>
      <w:u w:val="none"/>
    </w:rPr>
  </w:style>
  <w:style w:type="character" w:customStyle="1" w:styleId="MBTChar">
    <w:name w:val="M BT Char"/>
    <w:link w:val="MBT"/>
    <w:rsid w:val="000C27A0"/>
    <w:rPr>
      <w:rFonts w:ascii="Arial" w:hAnsi="Arial"/>
      <w:bCs/>
      <w:sz w:val="22"/>
      <w:szCs w:val="22"/>
    </w:rPr>
  </w:style>
  <w:style w:type="paragraph" w:customStyle="1" w:styleId="MH1nonumb">
    <w:name w:val="M H 1 no numb"/>
    <w:basedOn w:val="MH1"/>
    <w:next w:val="MBT"/>
    <w:link w:val="MH1nonumbChar"/>
    <w:qFormat/>
    <w:rsid w:val="006C797C"/>
    <w:pPr>
      <w:numPr>
        <w:numId w:val="0"/>
      </w:numPr>
    </w:pPr>
  </w:style>
  <w:style w:type="character" w:customStyle="1" w:styleId="Titolo1Carattere">
    <w:name w:val="Titolo 1 Carattere"/>
    <w:link w:val="Titolo1"/>
    <w:rsid w:val="001B161E"/>
    <w:rPr>
      <w:b/>
      <w:u w:val="single"/>
    </w:rPr>
  </w:style>
  <w:style w:type="character" w:customStyle="1" w:styleId="MH1Char">
    <w:name w:val="M H 1 Char"/>
    <w:link w:val="MH1"/>
    <w:rsid w:val="00B1706F"/>
    <w:rPr>
      <w:rFonts w:ascii="Arial" w:hAnsi="Arial"/>
      <w:color w:val="7AB800"/>
      <w:sz w:val="36"/>
      <w:shd w:val="clear" w:color="auto" w:fill="FFFFFF" w:themeFill="background1"/>
    </w:rPr>
  </w:style>
  <w:style w:type="paragraph" w:customStyle="1" w:styleId="MH2">
    <w:name w:val="M H 2"/>
    <w:basedOn w:val="Titolo2"/>
    <w:next w:val="MBT"/>
    <w:link w:val="MH2Char"/>
    <w:qFormat/>
    <w:rsid w:val="00B1706F"/>
    <w:pPr>
      <w:tabs>
        <w:tab w:val="clear" w:pos="860"/>
      </w:tabs>
      <w:spacing w:after="240"/>
      <w:ind w:left="567" w:hanging="567"/>
      <w:jc w:val="both"/>
    </w:pPr>
    <w:rPr>
      <w:b w:val="0"/>
      <w:i w:val="0"/>
      <w:color w:val="7AB800"/>
      <w:sz w:val="32"/>
      <w:szCs w:val="22"/>
    </w:rPr>
  </w:style>
  <w:style w:type="character" w:customStyle="1" w:styleId="MH1nonumbChar">
    <w:name w:val="M H 1 no numb Char"/>
    <w:link w:val="MH1nonumb"/>
    <w:rsid w:val="006C797C"/>
    <w:rPr>
      <w:rFonts w:ascii="Century Gothic" w:hAnsi="Century Gothic"/>
      <w:b/>
      <w:caps/>
      <w:sz w:val="24"/>
      <w:szCs w:val="24"/>
      <w:lang w:eastAsia="fr-FR"/>
    </w:rPr>
  </w:style>
  <w:style w:type="paragraph" w:customStyle="1" w:styleId="MH3">
    <w:name w:val="M H 3"/>
    <w:basedOn w:val="Titolo3"/>
    <w:next w:val="MBT"/>
    <w:link w:val="MH3Char"/>
    <w:qFormat/>
    <w:rsid w:val="00915354"/>
    <w:pPr>
      <w:tabs>
        <w:tab w:val="clear" w:pos="720"/>
      </w:tabs>
      <w:spacing w:after="240"/>
      <w:ind w:left="709"/>
      <w:jc w:val="both"/>
    </w:pPr>
    <w:rPr>
      <w:b w:val="0"/>
      <w:bCs w:val="0"/>
      <w:color w:val="7FB800"/>
    </w:rPr>
  </w:style>
  <w:style w:type="character" w:customStyle="1" w:styleId="Titolo2Carattere">
    <w:name w:val="Titolo 2 Carattere"/>
    <w:aliases w:val="-E Überschrift 2 Carattere,(SubSection) Carattere"/>
    <w:link w:val="Titolo2"/>
    <w:rsid w:val="00E71143"/>
    <w:rPr>
      <w:rFonts w:ascii="Arial" w:hAnsi="Arial" w:cs="Arial"/>
      <w:b/>
      <w:bCs/>
      <w:i/>
      <w:iCs/>
      <w:sz w:val="28"/>
      <w:szCs w:val="28"/>
    </w:rPr>
  </w:style>
  <w:style w:type="character" w:customStyle="1" w:styleId="MH2Char">
    <w:name w:val="M H 2 Char"/>
    <w:link w:val="MH2"/>
    <w:rsid w:val="00B1706F"/>
    <w:rPr>
      <w:rFonts w:ascii="Arial" w:hAnsi="Arial" w:cs="Arial"/>
      <w:bCs/>
      <w:iCs/>
      <w:color w:val="7AB800"/>
      <w:sz w:val="32"/>
      <w:szCs w:val="22"/>
    </w:rPr>
  </w:style>
  <w:style w:type="paragraph" w:customStyle="1" w:styleId="MH4">
    <w:name w:val="M H 4"/>
    <w:basedOn w:val="Titolo4"/>
    <w:next w:val="MBT"/>
    <w:link w:val="MH4Char"/>
    <w:qFormat/>
    <w:rsid w:val="003A7D8C"/>
    <w:pPr>
      <w:tabs>
        <w:tab w:val="clear" w:pos="1764"/>
        <w:tab w:val="num" w:pos="851"/>
      </w:tabs>
      <w:spacing w:after="240"/>
      <w:ind w:left="864"/>
      <w:jc w:val="both"/>
    </w:pPr>
    <w:rPr>
      <w:rFonts w:ascii="Arial" w:hAnsi="Arial" w:cs="Arial"/>
      <w:b w:val="0"/>
      <w:color w:val="7AB800" w:themeColor="background2"/>
      <w:sz w:val="22"/>
      <w:szCs w:val="22"/>
    </w:rPr>
  </w:style>
  <w:style w:type="character" w:customStyle="1" w:styleId="Titolo3Carattere">
    <w:name w:val="Titolo 3 Carattere"/>
    <w:aliases w:val="-E Überschrift 3 Carattere"/>
    <w:link w:val="Titolo3"/>
    <w:rsid w:val="00037885"/>
    <w:rPr>
      <w:rFonts w:ascii="Arial" w:hAnsi="Arial" w:cs="Arial"/>
      <w:b/>
      <w:bCs/>
      <w:sz w:val="26"/>
      <w:szCs w:val="26"/>
    </w:rPr>
  </w:style>
  <w:style w:type="character" w:customStyle="1" w:styleId="MH3Char">
    <w:name w:val="M H 3 Char"/>
    <w:link w:val="MH3"/>
    <w:rsid w:val="00915354"/>
    <w:rPr>
      <w:rFonts w:ascii="Arial" w:hAnsi="Arial" w:cs="Arial"/>
      <w:color w:val="7FB800"/>
      <w:sz w:val="26"/>
      <w:szCs w:val="26"/>
      <w:lang w:eastAsia="fr-FR"/>
    </w:rPr>
  </w:style>
  <w:style w:type="paragraph" w:customStyle="1" w:styleId="MBTbullets">
    <w:name w:val="M BT bullets"/>
    <w:basedOn w:val="Normale"/>
    <w:link w:val="MBTbulletsChar"/>
    <w:qFormat/>
    <w:rsid w:val="00EE1C86"/>
    <w:pPr>
      <w:widowControl w:val="0"/>
      <w:numPr>
        <w:numId w:val="3"/>
      </w:numPr>
      <w:spacing w:before="120" w:after="120"/>
      <w:ind w:left="426" w:hanging="284"/>
      <w:contextualSpacing/>
      <w:jc w:val="both"/>
    </w:pPr>
    <w:rPr>
      <w:rFonts w:ascii="Arial" w:hAnsi="Arial" w:cs="Arial"/>
      <w:bCs/>
      <w:sz w:val="22"/>
      <w:szCs w:val="22"/>
    </w:rPr>
  </w:style>
  <w:style w:type="character" w:customStyle="1" w:styleId="Titolo4Carattere">
    <w:name w:val="Titolo 4 Carattere"/>
    <w:link w:val="Titolo4"/>
    <w:rsid w:val="006B477D"/>
    <w:rPr>
      <w:b/>
      <w:bCs/>
      <w:sz w:val="28"/>
      <w:szCs w:val="28"/>
    </w:rPr>
  </w:style>
  <w:style w:type="character" w:customStyle="1" w:styleId="MH4Char">
    <w:name w:val="M H 4 Char"/>
    <w:link w:val="MH4"/>
    <w:rsid w:val="003A7D8C"/>
    <w:rPr>
      <w:rFonts w:ascii="Arial" w:hAnsi="Arial" w:cs="Arial"/>
      <w:bCs/>
      <w:color w:val="7AB800" w:themeColor="background2"/>
      <w:sz w:val="22"/>
      <w:szCs w:val="22"/>
    </w:rPr>
  </w:style>
  <w:style w:type="paragraph" w:customStyle="1" w:styleId="6B1BA9E48E214D47B5AB4BF5789D4B8B">
    <w:name w:val="6B1BA9E48E214D47B5AB4BF5789D4B8B"/>
    <w:rsid w:val="00BF08BC"/>
    <w:pPr>
      <w:spacing w:after="200" w:line="276" w:lineRule="auto"/>
    </w:pPr>
    <w:rPr>
      <w:rFonts w:ascii="Calibri" w:hAnsi="Calibri"/>
      <w:sz w:val="22"/>
      <w:szCs w:val="22"/>
    </w:rPr>
  </w:style>
  <w:style w:type="character" w:customStyle="1" w:styleId="MBTbulletsChar">
    <w:name w:val="M BT bullets Char"/>
    <w:link w:val="MBTbullets"/>
    <w:rsid w:val="00EE1C86"/>
    <w:rPr>
      <w:rFonts w:ascii="Arial" w:hAnsi="Arial" w:cs="Arial"/>
      <w:bCs/>
      <w:sz w:val="22"/>
      <w:szCs w:val="22"/>
    </w:rPr>
  </w:style>
  <w:style w:type="numbering" w:customStyle="1" w:styleId="MilieuList">
    <w:name w:val="Milieu List"/>
    <w:uiPriority w:val="99"/>
    <w:rsid w:val="00C25C82"/>
    <w:pPr>
      <w:numPr>
        <w:numId w:val="4"/>
      </w:numPr>
    </w:pPr>
  </w:style>
  <w:style w:type="paragraph" w:styleId="Citazione">
    <w:name w:val="Quote"/>
    <w:basedOn w:val="Normale"/>
    <w:next w:val="Normale"/>
    <w:link w:val="CitazioneCarattere"/>
    <w:uiPriority w:val="29"/>
    <w:rsid w:val="000522FA"/>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CitazioneCarattere">
    <w:name w:val="Citazione Carattere"/>
    <w:basedOn w:val="Carpredefinitoparagrafo"/>
    <w:link w:val="Citazione"/>
    <w:uiPriority w:val="29"/>
    <w:rsid w:val="000522FA"/>
    <w:rPr>
      <w:rFonts w:asciiTheme="minorHAnsi" w:eastAsiaTheme="minorEastAsia" w:hAnsiTheme="minorHAnsi" w:cstheme="minorBidi"/>
      <w:i/>
      <w:iCs/>
      <w:color w:val="000000" w:themeColor="text1"/>
      <w:sz w:val="22"/>
      <w:szCs w:val="22"/>
      <w:lang w:val="en-US" w:eastAsia="ja-JP"/>
    </w:rPr>
  </w:style>
  <w:style w:type="paragraph" w:styleId="Nessunaspaziatura">
    <w:name w:val="No Spacing"/>
    <w:basedOn w:val="Normale"/>
    <w:uiPriority w:val="1"/>
    <w:rsid w:val="00AE599B"/>
    <w:rPr>
      <w:rFonts w:asciiTheme="minorHAnsi" w:eastAsiaTheme="minorHAnsi" w:hAnsiTheme="minorHAnsi"/>
      <w:color w:val="000000" w:themeColor="text1"/>
      <w:lang w:eastAsia="ja-JP"/>
    </w:rPr>
  </w:style>
  <w:style w:type="paragraph" w:customStyle="1" w:styleId="8A1B7484A002489D88FC21011515A39A">
    <w:name w:val="8A1B7484A002489D88FC21011515A39A"/>
    <w:rsid w:val="00AE599B"/>
    <w:pPr>
      <w:spacing w:after="200" w:line="276" w:lineRule="auto"/>
    </w:pPr>
    <w:rPr>
      <w:rFonts w:asciiTheme="minorHAnsi" w:eastAsiaTheme="minorEastAsia" w:hAnsiTheme="minorHAnsi" w:cstheme="minorBidi"/>
      <w:sz w:val="22"/>
      <w:szCs w:val="22"/>
    </w:rPr>
  </w:style>
  <w:style w:type="paragraph" w:customStyle="1" w:styleId="MMultilevelList">
    <w:name w:val="M Multilevel List"/>
    <w:basedOn w:val="MBTbullets"/>
    <w:link w:val="MMultilevelListChar"/>
    <w:rsid w:val="00AF30D7"/>
    <w:pPr>
      <w:numPr>
        <w:numId w:val="7"/>
      </w:numPr>
    </w:pPr>
  </w:style>
  <w:style w:type="character" w:customStyle="1" w:styleId="MMultilevelListChar">
    <w:name w:val="M Multilevel List Char"/>
    <w:basedOn w:val="MBTbulletsChar"/>
    <w:link w:val="MMultilevelList"/>
    <w:rsid w:val="00AF30D7"/>
    <w:rPr>
      <w:rFonts w:ascii="Arial" w:hAnsi="Arial" w:cs="Arial"/>
      <w:bCs/>
      <w:sz w:val="22"/>
      <w:szCs w:val="22"/>
      <w:lang w:val="en-US"/>
    </w:rPr>
  </w:style>
  <w:style w:type="paragraph" w:customStyle="1" w:styleId="MFootnoteText">
    <w:name w:val="M Footnote Text"/>
    <w:basedOn w:val="Testonotaapidipagina"/>
    <w:link w:val="MFootnoteTextChar"/>
    <w:qFormat/>
    <w:rsid w:val="007538A6"/>
    <w:pPr>
      <w:widowControl w:val="0"/>
    </w:pPr>
    <w:rPr>
      <w:bCs/>
      <w:szCs w:val="18"/>
    </w:rPr>
  </w:style>
  <w:style w:type="character" w:customStyle="1" w:styleId="MFootnoteTextChar">
    <w:name w:val="M Footnote Text Char"/>
    <w:basedOn w:val="TestonotaapidipaginaCarattere"/>
    <w:link w:val="MFootnoteText"/>
    <w:rsid w:val="007538A6"/>
    <w:rPr>
      <w:rFonts w:ascii="Arial" w:hAnsi="Arial"/>
      <w:bCs/>
      <w:sz w:val="16"/>
      <w:szCs w:val="18"/>
    </w:rPr>
  </w:style>
  <w:style w:type="character" w:customStyle="1" w:styleId="ParagrafoelencoCarattere">
    <w:name w:val="Paragrafo elenco Carattere"/>
    <w:aliases w:val="Sub-heading 2 Carattere,Heading 2_sj Carattere,List Paragraph1 Carattere,Lijstalinea Carattere,Fünf Carattere"/>
    <w:basedOn w:val="Carpredefinitoparagrafo"/>
    <w:link w:val="Paragrafoelenco"/>
    <w:uiPriority w:val="34"/>
    <w:qFormat/>
    <w:rsid w:val="00433934"/>
    <w:rPr>
      <w:rFonts w:ascii="Century Gothic" w:hAnsi="Century Gothic"/>
      <w:b/>
      <w:szCs w:val="18"/>
    </w:rPr>
  </w:style>
  <w:style w:type="paragraph" w:styleId="Didascalia">
    <w:name w:val="caption"/>
    <w:aliases w:val="M Caption"/>
    <w:basedOn w:val="Normale"/>
    <w:next w:val="Normale"/>
    <w:link w:val="DidascaliaCarattere"/>
    <w:uiPriority w:val="3"/>
    <w:unhideWhenUsed/>
    <w:qFormat/>
    <w:rsid w:val="00686CC5"/>
    <w:pPr>
      <w:keepNext/>
      <w:spacing w:before="240" w:after="120"/>
      <w:jc w:val="both"/>
    </w:pPr>
    <w:rPr>
      <w:rFonts w:ascii="Arial" w:hAnsi="Arial" w:cs="Arial"/>
      <w:b/>
      <w:bCs/>
      <w:color w:val="000000" w:themeColor="text1"/>
      <w:sz w:val="22"/>
      <w:szCs w:val="22"/>
      <w:lang w:val="nl-NL"/>
    </w:rPr>
  </w:style>
  <w:style w:type="paragraph" w:styleId="Puntoelenco2">
    <w:name w:val="List Bullet 2"/>
    <w:basedOn w:val="Normale"/>
    <w:rsid w:val="005C42D1"/>
    <w:pPr>
      <w:numPr>
        <w:numId w:val="5"/>
      </w:numPr>
      <w:contextualSpacing/>
      <w:jc w:val="both"/>
    </w:pPr>
    <w:rPr>
      <w:sz w:val="22"/>
      <w:szCs w:val="22"/>
    </w:rPr>
  </w:style>
  <w:style w:type="paragraph" w:styleId="Indicedellefigure">
    <w:name w:val="table of figures"/>
    <w:basedOn w:val="Normale"/>
    <w:next w:val="Normale"/>
    <w:uiPriority w:val="99"/>
    <w:rsid w:val="00C73905"/>
    <w:pPr>
      <w:spacing w:before="120" w:after="60"/>
    </w:pPr>
    <w:rPr>
      <w:rFonts w:ascii="Arial" w:hAnsi="Arial"/>
      <w:sz w:val="22"/>
    </w:rPr>
  </w:style>
  <w:style w:type="character" w:styleId="Collegamentovisitato">
    <w:name w:val="FollowedHyperlink"/>
    <w:basedOn w:val="Carpredefinitoparagrafo"/>
    <w:rsid w:val="00A82B1B"/>
    <w:rPr>
      <w:color w:val="800080" w:themeColor="followedHyperlink"/>
      <w:u w:val="single"/>
    </w:rPr>
  </w:style>
  <w:style w:type="paragraph" w:customStyle="1" w:styleId="DecimalAligned">
    <w:name w:val="Decimal Aligned"/>
    <w:basedOn w:val="Normale"/>
    <w:uiPriority w:val="40"/>
    <w:rsid w:val="00BA3365"/>
    <w:pPr>
      <w:tabs>
        <w:tab w:val="decimal" w:pos="360"/>
      </w:tabs>
      <w:spacing w:after="200" w:line="276" w:lineRule="auto"/>
    </w:pPr>
    <w:rPr>
      <w:rFonts w:asciiTheme="minorHAnsi" w:eastAsiaTheme="minorHAnsi" w:hAnsiTheme="minorHAnsi" w:cstheme="minorBidi"/>
      <w:sz w:val="22"/>
      <w:szCs w:val="22"/>
      <w:lang w:eastAsia="ja-JP"/>
    </w:rPr>
  </w:style>
  <w:style w:type="character" w:styleId="Enfasidelicata">
    <w:name w:val="Subtle Emphasis"/>
    <w:basedOn w:val="Carpredefinitoparagrafo"/>
    <w:uiPriority w:val="19"/>
    <w:rsid w:val="00BA3365"/>
    <w:rPr>
      <w:i/>
      <w:iCs/>
      <w:color w:val="7F7F7F" w:themeColor="text1" w:themeTint="80"/>
    </w:rPr>
  </w:style>
  <w:style w:type="table" w:styleId="Sfondochiaro-Colore1">
    <w:name w:val="Light Shading Accent 1"/>
    <w:basedOn w:val="Tabellanormale"/>
    <w:uiPriority w:val="60"/>
    <w:rsid w:val="00BA3365"/>
    <w:rPr>
      <w:rFonts w:asciiTheme="minorHAnsi" w:eastAsiaTheme="minorEastAsia" w:hAnsiTheme="minorHAnsi" w:cstheme="minorBidi"/>
      <w:color w:val="9BBB59" w:themeColor="accent1" w:themeShade="BF"/>
      <w:sz w:val="22"/>
      <w:szCs w:val="22"/>
      <w:lang w:eastAsia="ja-JP"/>
    </w:rPr>
    <w:tblPr>
      <w:tblStyleRowBandSize w:val="1"/>
      <w:tblStyleColBandSize w:val="1"/>
      <w:tblBorders>
        <w:top w:val="single" w:sz="8" w:space="0" w:color="C3D69B" w:themeColor="accent1"/>
        <w:bottom w:val="single" w:sz="8" w:space="0" w:color="C3D69B" w:themeColor="accent1"/>
      </w:tblBorders>
    </w:tblPr>
    <w:tblStylePr w:type="firstRow">
      <w:pPr>
        <w:spacing w:before="0" w:after="0" w:line="240" w:lineRule="auto"/>
      </w:pPr>
      <w:rPr>
        <w:b/>
        <w:bCs/>
        <w:color w:val="9BBB59" w:themeColor="accent1" w:themeShade="BF"/>
      </w:rPr>
      <w:tblPr/>
      <w:tcPr>
        <w:tcBorders>
          <w:top w:val="single" w:sz="8" w:space="0" w:color="C3D69B" w:themeColor="accent1"/>
          <w:left w:val="nil"/>
          <w:bottom w:val="single" w:sz="8" w:space="0" w:color="C3D69B" w:themeColor="accent1"/>
          <w:right w:val="nil"/>
          <w:insideH w:val="nil"/>
          <w:insideV w:val="nil"/>
        </w:tcBorders>
      </w:tcPr>
    </w:tblStylePr>
    <w:tblStylePr w:type="lastRow">
      <w:pPr>
        <w:spacing w:before="0" w:after="0" w:line="240" w:lineRule="auto"/>
      </w:pPr>
      <w:rPr>
        <w:b/>
        <w:bCs/>
        <w:color w:val="9BBB59" w:themeColor="accent1" w:themeShade="BF"/>
      </w:rPr>
      <w:tblPr/>
      <w:tcPr>
        <w:tcBorders>
          <w:top w:val="single" w:sz="8" w:space="0" w:color="C3D69B" w:themeColor="accent1"/>
          <w:left w:val="nil"/>
          <w:bottom w:val="single" w:sz="8" w:space="0" w:color="C3D69B" w:themeColor="accent1"/>
          <w:right w:val="nil"/>
          <w:insideH w:val="nil"/>
          <w:insideV w:val="nil"/>
        </w:tcBorders>
      </w:tcPr>
    </w:tblStylePr>
    <w:tblStylePr w:type="firstCol">
      <w:rPr>
        <w:b/>
        <w:bCs/>
        <w:color w:val="9BBB59" w:themeColor="accent1" w:themeShade="BF"/>
      </w:rPr>
    </w:tblStylePr>
    <w:tblStylePr w:type="lastCol">
      <w:rPr>
        <w:b/>
        <w:bCs/>
        <w:color w:val="9BBB59" w:themeColor="accent1" w:themeShade="BF"/>
      </w:rPr>
    </w:tblStylePr>
    <w:tblStylePr w:type="band1Vert">
      <w:tblPr/>
      <w:tcPr>
        <w:tcBorders>
          <w:left w:val="nil"/>
          <w:right w:val="nil"/>
          <w:insideH w:val="nil"/>
          <w:insideV w:val="nil"/>
        </w:tcBorders>
        <w:shd w:val="clear" w:color="auto" w:fill="F0F4E6" w:themeFill="accent1" w:themeFillTint="3F"/>
      </w:tcPr>
    </w:tblStylePr>
    <w:tblStylePr w:type="band1Horz">
      <w:tblPr/>
      <w:tcPr>
        <w:tcBorders>
          <w:left w:val="nil"/>
          <w:right w:val="nil"/>
          <w:insideH w:val="nil"/>
          <w:insideV w:val="nil"/>
        </w:tcBorders>
        <w:shd w:val="clear" w:color="auto" w:fill="F0F4E6" w:themeFill="accent1" w:themeFillTint="3F"/>
      </w:tcPr>
    </w:tblStylePr>
  </w:style>
  <w:style w:type="character" w:customStyle="1" w:styleId="DidascaliaCarattere">
    <w:name w:val="Didascalia Carattere"/>
    <w:aliases w:val="M Caption Carattere"/>
    <w:basedOn w:val="Carpredefinitoparagrafo"/>
    <w:link w:val="Didascalia"/>
    <w:uiPriority w:val="3"/>
    <w:locked/>
    <w:rsid w:val="00686CC5"/>
    <w:rPr>
      <w:rFonts w:ascii="Arial" w:hAnsi="Arial" w:cs="Arial"/>
      <w:b/>
      <w:bCs/>
      <w:color w:val="000000" w:themeColor="text1"/>
      <w:sz w:val="22"/>
      <w:szCs w:val="22"/>
      <w:lang w:val="nl-NL" w:eastAsia="fr-FR"/>
    </w:rPr>
  </w:style>
  <w:style w:type="paragraph" w:customStyle="1" w:styleId="MTabletext">
    <w:name w:val="M Table text"/>
    <w:basedOn w:val="Normale"/>
    <w:qFormat/>
    <w:rsid w:val="00657A35"/>
    <w:pPr>
      <w:spacing w:after="120"/>
      <w:jc w:val="both"/>
    </w:pPr>
    <w:rPr>
      <w:rFonts w:ascii="Arial" w:hAnsi="Arial"/>
      <w:color w:val="000000"/>
      <w:sz w:val="18"/>
      <w:lang w:val="de-DE"/>
    </w:rPr>
  </w:style>
  <w:style w:type="table" w:customStyle="1" w:styleId="MProposalTable">
    <w:name w:val="M Proposal Table"/>
    <w:basedOn w:val="Tabellanormale"/>
    <w:uiPriority w:val="99"/>
    <w:rsid w:val="0032573F"/>
    <w:pPr>
      <w:spacing w:after="120"/>
      <w:jc w:val="both"/>
    </w:pPr>
    <w:rPr>
      <w:rFonts w:ascii="Arial" w:hAnsi="Arial"/>
      <w:color w:val="000000"/>
      <w:sz w:val="18"/>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Pr>
    <w:tcPr>
      <w:shd w:val="clear" w:color="auto" w:fill="EAF1DD"/>
    </w:tcPr>
    <w:tblStylePr w:type="firstRow">
      <w:pPr>
        <w:keepNext w:val="0"/>
        <w:keepLines w:val="0"/>
        <w:pageBreakBefore w:val="0"/>
        <w:widowControl/>
        <w:suppressLineNumbers w:val="0"/>
        <w:suppressAutoHyphens w:val="0"/>
        <w:wordWrap/>
        <w:spacing w:beforeLines="0" w:before="0" w:beforeAutospacing="0" w:afterLines="0" w:after="120" w:afterAutospacing="0" w:line="240" w:lineRule="auto"/>
        <w:contextualSpacing w:val="0"/>
        <w:mirrorIndents w:val="0"/>
        <w:jc w:val="left"/>
      </w:pPr>
      <w:rPr>
        <w:rFonts w:ascii="Arial" w:hAnsi="Arial"/>
        <w:b/>
        <w:i w:val="0"/>
        <w:caps w:val="0"/>
        <w:smallCaps w:val="0"/>
        <w:strike w:val="0"/>
        <w:dstrike w:val="0"/>
        <w:vanish w:val="0"/>
        <w:color w:val="FFFFFF" w:themeColor="background1"/>
        <w:sz w:val="18"/>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7AB800" w:themeFill="background2"/>
      </w:tcPr>
    </w:tblStylePr>
  </w:style>
  <w:style w:type="paragraph" w:customStyle="1" w:styleId="2Sub-heading">
    <w:name w:val="2. Sub-heading"/>
    <w:basedOn w:val="Titolo5"/>
    <w:next w:val="MBT"/>
    <w:link w:val="2Sub-headingChar"/>
    <w:qFormat/>
    <w:rsid w:val="00667E62"/>
    <w:pPr>
      <w:keepNext/>
      <w:numPr>
        <w:ilvl w:val="0"/>
        <w:numId w:val="0"/>
      </w:numPr>
      <w:spacing w:after="120"/>
    </w:pPr>
    <w:rPr>
      <w:rFonts w:ascii="Arial" w:hAnsi="Arial"/>
      <w:b w:val="0"/>
      <w:color w:val="7AB800"/>
      <w:sz w:val="22"/>
      <w:szCs w:val="24"/>
      <w:lang w:val="nl-NL" w:eastAsia="en-GB"/>
    </w:rPr>
  </w:style>
  <w:style w:type="character" w:customStyle="1" w:styleId="2Sub-headingChar">
    <w:name w:val="2. Sub-heading Char"/>
    <w:basedOn w:val="Carpredefinitoparagrafo"/>
    <w:link w:val="2Sub-heading"/>
    <w:rsid w:val="00667E62"/>
    <w:rPr>
      <w:rFonts w:ascii="Arial" w:hAnsi="Arial"/>
      <w:bCs/>
      <w:i/>
      <w:iCs/>
      <w:color w:val="7AB800"/>
      <w:sz w:val="22"/>
      <w:szCs w:val="24"/>
      <w:lang w:val="nl-NL" w:eastAsia="en-GB"/>
    </w:rPr>
  </w:style>
  <w:style w:type="table" w:customStyle="1" w:styleId="GridTable1Light-Accent11">
    <w:name w:val="Grid Table 1 Light - Accent 11"/>
    <w:basedOn w:val="Tabellanormale"/>
    <w:uiPriority w:val="46"/>
    <w:rsid w:val="00C26D77"/>
    <w:tblPr>
      <w:tblStyleRowBandSize w:val="1"/>
      <w:tblStyleColBandSize w:val="1"/>
      <w:tblBorders>
        <w:top w:val="single" w:sz="4" w:space="0" w:color="E6EED6" w:themeColor="accent1" w:themeTint="66"/>
        <w:left w:val="single" w:sz="4" w:space="0" w:color="E6EED6" w:themeColor="accent1" w:themeTint="66"/>
        <w:bottom w:val="single" w:sz="4" w:space="0" w:color="E6EED6" w:themeColor="accent1" w:themeTint="66"/>
        <w:right w:val="single" w:sz="4" w:space="0" w:color="E6EED6" w:themeColor="accent1" w:themeTint="66"/>
        <w:insideH w:val="single" w:sz="4" w:space="0" w:color="E6EED6" w:themeColor="accent1" w:themeTint="66"/>
        <w:insideV w:val="single" w:sz="4" w:space="0" w:color="E6EED6" w:themeColor="accent1" w:themeTint="66"/>
      </w:tblBorders>
    </w:tblPr>
    <w:tblStylePr w:type="firstRow">
      <w:rPr>
        <w:b/>
        <w:bCs/>
      </w:rPr>
      <w:tblPr/>
      <w:tcPr>
        <w:tcBorders>
          <w:bottom w:val="single" w:sz="12" w:space="0" w:color="DAE6C2" w:themeColor="accent1" w:themeTint="99"/>
        </w:tcBorders>
      </w:tcPr>
    </w:tblStylePr>
    <w:tblStylePr w:type="lastRow">
      <w:rPr>
        <w:b/>
        <w:bCs/>
      </w:rPr>
      <w:tblPr/>
      <w:tcPr>
        <w:tcBorders>
          <w:top w:val="double" w:sz="2" w:space="0" w:color="DAE6C2" w:themeColor="accent1" w:themeTint="99"/>
        </w:tcBorders>
      </w:tcPr>
    </w:tblStylePr>
    <w:tblStylePr w:type="firstCol">
      <w:rPr>
        <w:b/>
        <w:bCs/>
      </w:rPr>
    </w:tblStylePr>
    <w:tblStylePr w:type="lastCol">
      <w:rPr>
        <w:b/>
        <w:bCs/>
      </w:rPr>
    </w:tblStylePr>
  </w:style>
  <w:style w:type="paragraph" w:customStyle="1" w:styleId="MMultileveltable">
    <w:name w:val="M Multilevel table"/>
    <w:basedOn w:val="MBTbullets"/>
    <w:rsid w:val="006A3A64"/>
    <w:pPr>
      <w:numPr>
        <w:numId w:val="8"/>
      </w:numPr>
    </w:pPr>
    <w:rPr>
      <w:rFonts w:ascii="Century Gothic" w:hAnsi="Century Gothic"/>
      <w:sz w:val="18"/>
      <w:szCs w:val="18"/>
    </w:rPr>
  </w:style>
  <w:style w:type="paragraph" w:customStyle="1" w:styleId="MHeaderSection">
    <w:name w:val="M Header Section"/>
    <w:basedOn w:val="Intestazione"/>
    <w:link w:val="MHeaderSectionChar"/>
    <w:rsid w:val="00E7472D"/>
    <w:pPr>
      <w:pBdr>
        <w:bottom w:val="single" w:sz="4" w:space="1" w:color="auto"/>
      </w:pBdr>
      <w:tabs>
        <w:tab w:val="center" w:pos="4320"/>
        <w:tab w:val="right" w:pos="9072"/>
      </w:tabs>
      <w:jc w:val="right"/>
    </w:pPr>
    <w:rPr>
      <w:rFonts w:ascii="Century Gothic" w:hAnsi="Century Gothic"/>
      <w:i/>
      <w:noProof/>
      <w:sz w:val="18"/>
      <w:szCs w:val="18"/>
    </w:rPr>
  </w:style>
  <w:style w:type="paragraph" w:customStyle="1" w:styleId="MFooterSection">
    <w:name w:val="M Footer Section"/>
    <w:basedOn w:val="Pidipagina"/>
    <w:link w:val="MFooterSectionChar"/>
    <w:rsid w:val="00E7472D"/>
    <w:pPr>
      <w:ind w:right="19"/>
      <w:jc w:val="right"/>
    </w:pPr>
    <w:rPr>
      <w:rFonts w:ascii="Century Gothic" w:hAnsi="Century Gothic"/>
      <w:i/>
      <w:sz w:val="18"/>
      <w:szCs w:val="16"/>
    </w:rPr>
  </w:style>
  <w:style w:type="character" w:customStyle="1" w:styleId="MHeaderSectionChar">
    <w:name w:val="M Header Section Char"/>
    <w:basedOn w:val="Carpredefinitoparagrafo"/>
    <w:link w:val="MHeaderSection"/>
    <w:rsid w:val="00E7472D"/>
    <w:rPr>
      <w:rFonts w:ascii="Century Gothic" w:hAnsi="Century Gothic"/>
      <w:i/>
      <w:noProof/>
      <w:sz w:val="18"/>
      <w:szCs w:val="18"/>
    </w:rPr>
  </w:style>
  <w:style w:type="paragraph" w:customStyle="1" w:styleId="MMultilevelBulletedList">
    <w:name w:val="M Multilevel Bulleted List"/>
    <w:basedOn w:val="MBT"/>
    <w:link w:val="MMultilevelBulletedListChar"/>
    <w:rsid w:val="007C1A50"/>
    <w:pPr>
      <w:numPr>
        <w:numId w:val="10"/>
      </w:numPr>
      <w:spacing w:before="0"/>
      <w:ind w:left="1008"/>
    </w:pPr>
  </w:style>
  <w:style w:type="character" w:customStyle="1" w:styleId="IntestazioneCarattere">
    <w:name w:val="Intestazione Carattere"/>
    <w:basedOn w:val="Carpredefinitoparagrafo"/>
    <w:link w:val="Intestazione"/>
    <w:rsid w:val="00F51861"/>
    <w:rPr>
      <w:sz w:val="24"/>
      <w:szCs w:val="24"/>
      <w:lang w:eastAsia="fr-FR"/>
    </w:rPr>
  </w:style>
  <w:style w:type="character" w:customStyle="1" w:styleId="MFooterSectionChar">
    <w:name w:val="M Footer Section Char"/>
    <w:basedOn w:val="IntestazioneCarattere"/>
    <w:link w:val="MFooterSection"/>
    <w:rsid w:val="00E7472D"/>
    <w:rPr>
      <w:rFonts w:ascii="Century Gothic" w:hAnsi="Century Gothic"/>
      <w:i/>
      <w:sz w:val="18"/>
      <w:szCs w:val="16"/>
      <w:lang w:eastAsia="fr-FR"/>
    </w:rPr>
  </w:style>
  <w:style w:type="paragraph" w:customStyle="1" w:styleId="MMultilevelBulletedListSub">
    <w:name w:val="M Multilevel Bulleted List Sub"/>
    <w:basedOn w:val="MBT"/>
    <w:link w:val="MMultilevelBulletedListSubChar"/>
    <w:rsid w:val="00E7472D"/>
    <w:pPr>
      <w:numPr>
        <w:numId w:val="11"/>
      </w:numPr>
    </w:pPr>
  </w:style>
  <w:style w:type="character" w:customStyle="1" w:styleId="MMultilevelBulletedListChar">
    <w:name w:val="M Multilevel Bulleted List Char"/>
    <w:basedOn w:val="MBTChar"/>
    <w:link w:val="MMultilevelBulletedList"/>
    <w:rsid w:val="007C1A50"/>
    <w:rPr>
      <w:rFonts w:ascii="Arial" w:hAnsi="Arial"/>
      <w:bCs/>
      <w:sz w:val="22"/>
      <w:szCs w:val="22"/>
      <w:lang w:val="en-US" w:eastAsia="fr-FR"/>
    </w:rPr>
  </w:style>
  <w:style w:type="table" w:customStyle="1" w:styleId="ListTable3-Accent31">
    <w:name w:val="List Table 3 - Accent 31"/>
    <w:basedOn w:val="Tabellanormale"/>
    <w:uiPriority w:val="48"/>
    <w:rsid w:val="00C26D77"/>
    <w:tblPr>
      <w:tblStyleRowBandSize w:val="1"/>
      <w:tblStyleColBandSize w:val="1"/>
      <w:tblBorders>
        <w:top w:val="single" w:sz="4" w:space="0" w:color="DBDBDB" w:themeColor="accent3"/>
        <w:left w:val="single" w:sz="4" w:space="0" w:color="DBDBDB" w:themeColor="accent3"/>
        <w:bottom w:val="single" w:sz="4" w:space="0" w:color="DBDBDB" w:themeColor="accent3"/>
        <w:right w:val="single" w:sz="4" w:space="0" w:color="DBDBDB" w:themeColor="accent3"/>
      </w:tblBorders>
    </w:tblPr>
    <w:tblStylePr w:type="firstRow">
      <w:rPr>
        <w:b/>
        <w:bCs/>
        <w:color w:val="FFFFFF" w:themeColor="background1"/>
      </w:rPr>
      <w:tblPr/>
      <w:tcPr>
        <w:shd w:val="clear" w:color="auto" w:fill="DBDBDB" w:themeFill="accent3"/>
      </w:tcPr>
    </w:tblStylePr>
    <w:tblStylePr w:type="lastRow">
      <w:rPr>
        <w:b/>
        <w:bCs/>
      </w:rPr>
      <w:tblPr/>
      <w:tcPr>
        <w:tcBorders>
          <w:top w:val="double" w:sz="4" w:space="0" w:color="DBDBD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DBDB" w:themeColor="accent3"/>
          <w:right w:val="single" w:sz="4" w:space="0" w:color="DBDBDB" w:themeColor="accent3"/>
        </w:tcBorders>
      </w:tcPr>
    </w:tblStylePr>
    <w:tblStylePr w:type="band1Horz">
      <w:tblPr/>
      <w:tcPr>
        <w:tcBorders>
          <w:top w:val="single" w:sz="4" w:space="0" w:color="DBDBDB" w:themeColor="accent3"/>
          <w:bottom w:val="single" w:sz="4" w:space="0" w:color="DBDBD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DBDB" w:themeColor="accent3"/>
          <w:left w:val="nil"/>
        </w:tcBorders>
      </w:tcPr>
    </w:tblStylePr>
    <w:tblStylePr w:type="swCell">
      <w:tblPr/>
      <w:tcPr>
        <w:tcBorders>
          <w:top w:val="double" w:sz="4" w:space="0" w:color="DBDBDB" w:themeColor="accent3"/>
          <w:right w:val="nil"/>
        </w:tcBorders>
      </w:tcPr>
    </w:tblStylePr>
  </w:style>
  <w:style w:type="character" w:customStyle="1" w:styleId="MMultilevelBulletedListSubChar">
    <w:name w:val="M Multilevel Bulleted List Sub Char"/>
    <w:basedOn w:val="MMultilevelBulletedListChar"/>
    <w:link w:val="MMultilevelBulletedListSub"/>
    <w:rsid w:val="000977EA"/>
    <w:rPr>
      <w:rFonts w:ascii="Arial" w:hAnsi="Arial"/>
      <w:bCs/>
      <w:sz w:val="22"/>
      <w:szCs w:val="22"/>
      <w:lang w:val="en-US" w:eastAsia="fr-FR"/>
    </w:rPr>
  </w:style>
  <w:style w:type="table" w:customStyle="1" w:styleId="GridTable4-Accent31">
    <w:name w:val="Grid Table 4 - Accent 31"/>
    <w:basedOn w:val="Tabellanormale"/>
    <w:uiPriority w:val="49"/>
    <w:rsid w:val="00C26D77"/>
    <w:tblPr>
      <w:tblStyleRowBandSize w:val="1"/>
      <w:tblStyleColBandSize w:val="1"/>
      <w:tblBorders>
        <w:top w:val="single" w:sz="4" w:space="0" w:color="E9E9E9" w:themeColor="accent3" w:themeTint="99"/>
        <w:left w:val="single" w:sz="4" w:space="0" w:color="E9E9E9" w:themeColor="accent3" w:themeTint="99"/>
        <w:bottom w:val="single" w:sz="4" w:space="0" w:color="E9E9E9" w:themeColor="accent3" w:themeTint="99"/>
        <w:right w:val="single" w:sz="4" w:space="0" w:color="E9E9E9" w:themeColor="accent3" w:themeTint="99"/>
        <w:insideH w:val="single" w:sz="4" w:space="0" w:color="E9E9E9" w:themeColor="accent3" w:themeTint="99"/>
        <w:insideV w:val="single" w:sz="4" w:space="0" w:color="E9E9E9" w:themeColor="accent3" w:themeTint="99"/>
      </w:tblBorders>
    </w:tblPr>
    <w:tblStylePr w:type="firstRow">
      <w:rPr>
        <w:b/>
        <w:bCs/>
        <w:color w:val="FFFFFF" w:themeColor="background1"/>
      </w:rPr>
      <w:tblPr/>
      <w:tcPr>
        <w:tcBorders>
          <w:top w:val="single" w:sz="4" w:space="0" w:color="DBDBDB" w:themeColor="accent3"/>
          <w:left w:val="single" w:sz="4" w:space="0" w:color="DBDBDB" w:themeColor="accent3"/>
          <w:bottom w:val="single" w:sz="4" w:space="0" w:color="DBDBDB" w:themeColor="accent3"/>
          <w:right w:val="single" w:sz="4" w:space="0" w:color="DBDBDB" w:themeColor="accent3"/>
          <w:insideH w:val="nil"/>
          <w:insideV w:val="nil"/>
        </w:tcBorders>
        <w:shd w:val="clear" w:color="auto" w:fill="DBDBDB" w:themeFill="accent3"/>
      </w:tcPr>
    </w:tblStylePr>
    <w:tblStylePr w:type="lastRow">
      <w:rPr>
        <w:b/>
        <w:bCs/>
      </w:rPr>
      <w:tblPr/>
      <w:tcPr>
        <w:tcBorders>
          <w:top w:val="double" w:sz="4" w:space="0" w:color="DBDBDB" w:themeColor="accent3"/>
        </w:tcBorders>
      </w:tcPr>
    </w:tblStylePr>
    <w:tblStylePr w:type="firstCol">
      <w:rPr>
        <w:b/>
        <w:bCs/>
      </w:rPr>
    </w:tblStylePr>
    <w:tblStylePr w:type="lastCol">
      <w:rPr>
        <w:b/>
        <w:bCs/>
      </w:rPr>
    </w:tblStylePr>
    <w:tblStylePr w:type="band1Vert">
      <w:tblPr/>
      <w:tcPr>
        <w:shd w:val="clear" w:color="auto" w:fill="F7F7F7" w:themeFill="accent3" w:themeFillTint="33"/>
      </w:tcPr>
    </w:tblStylePr>
    <w:tblStylePr w:type="band1Horz">
      <w:tblPr/>
      <w:tcPr>
        <w:shd w:val="clear" w:color="auto" w:fill="F7F7F7" w:themeFill="accent3" w:themeFillTint="33"/>
      </w:tcPr>
    </w:tblStylePr>
  </w:style>
  <w:style w:type="paragraph" w:styleId="Puntoelenco3">
    <w:name w:val="List Bullet 3"/>
    <w:basedOn w:val="Normale"/>
    <w:semiHidden/>
    <w:unhideWhenUsed/>
    <w:rsid w:val="00F51861"/>
    <w:pPr>
      <w:numPr>
        <w:numId w:val="9"/>
      </w:numPr>
      <w:contextualSpacing/>
    </w:pPr>
  </w:style>
  <w:style w:type="table" w:customStyle="1" w:styleId="GridTable4-Accent11">
    <w:name w:val="Grid Table 4 - Accent 11"/>
    <w:basedOn w:val="Tabellanormale"/>
    <w:uiPriority w:val="49"/>
    <w:rsid w:val="00C26D77"/>
    <w:tblPr>
      <w:tblStyleRowBandSize w:val="1"/>
      <w:tblStyleColBandSize w:val="1"/>
      <w:tblBorders>
        <w:top w:val="single" w:sz="4" w:space="0" w:color="DAE6C2" w:themeColor="accent1" w:themeTint="99"/>
        <w:left w:val="single" w:sz="4" w:space="0" w:color="DAE6C2" w:themeColor="accent1" w:themeTint="99"/>
        <w:bottom w:val="single" w:sz="4" w:space="0" w:color="DAE6C2" w:themeColor="accent1" w:themeTint="99"/>
        <w:right w:val="single" w:sz="4" w:space="0" w:color="DAE6C2" w:themeColor="accent1" w:themeTint="99"/>
        <w:insideH w:val="single" w:sz="4" w:space="0" w:color="DAE6C2" w:themeColor="accent1" w:themeTint="99"/>
        <w:insideV w:val="single" w:sz="4" w:space="0" w:color="DAE6C2" w:themeColor="accent1" w:themeTint="99"/>
      </w:tblBorders>
    </w:tblPr>
    <w:tblStylePr w:type="firstRow">
      <w:rPr>
        <w:b/>
        <w:bCs/>
        <w:color w:val="FFFFFF" w:themeColor="background1"/>
      </w:rPr>
      <w:tblPr/>
      <w:tcPr>
        <w:tcBorders>
          <w:top w:val="single" w:sz="4" w:space="0" w:color="C3D69B" w:themeColor="accent1"/>
          <w:left w:val="single" w:sz="4" w:space="0" w:color="C3D69B" w:themeColor="accent1"/>
          <w:bottom w:val="single" w:sz="4" w:space="0" w:color="C3D69B" w:themeColor="accent1"/>
          <w:right w:val="single" w:sz="4" w:space="0" w:color="C3D69B" w:themeColor="accent1"/>
          <w:insideH w:val="nil"/>
          <w:insideV w:val="nil"/>
        </w:tcBorders>
        <w:shd w:val="clear" w:color="auto" w:fill="C3D69B" w:themeFill="accent1"/>
      </w:tcPr>
    </w:tblStylePr>
    <w:tblStylePr w:type="lastRow">
      <w:rPr>
        <w:b/>
        <w:bCs/>
      </w:rPr>
      <w:tblPr/>
      <w:tcPr>
        <w:tcBorders>
          <w:top w:val="double" w:sz="4" w:space="0" w:color="C3D69B" w:themeColor="accent1"/>
        </w:tcBorders>
      </w:tcPr>
    </w:tblStylePr>
    <w:tblStylePr w:type="firstCol">
      <w:rPr>
        <w:b/>
        <w:bCs/>
      </w:rPr>
    </w:tblStylePr>
    <w:tblStylePr w:type="lastCol">
      <w:rPr>
        <w:b/>
        <w:bCs/>
      </w:rPr>
    </w:tblStylePr>
    <w:tblStylePr w:type="band1Vert">
      <w:tblPr/>
      <w:tcPr>
        <w:shd w:val="clear" w:color="auto" w:fill="F2F6EA" w:themeFill="accent1" w:themeFillTint="33"/>
      </w:tcPr>
    </w:tblStylePr>
    <w:tblStylePr w:type="band1Horz">
      <w:tblPr/>
      <w:tcPr>
        <w:shd w:val="clear" w:color="auto" w:fill="F2F6EA" w:themeFill="accent1" w:themeFillTint="33"/>
      </w:tcPr>
    </w:tblStylePr>
  </w:style>
  <w:style w:type="paragraph" w:customStyle="1" w:styleId="MTableHeader">
    <w:name w:val="M Table Header"/>
    <w:basedOn w:val="Intestazione"/>
    <w:link w:val="MTableHeaderChar"/>
    <w:rsid w:val="00115C55"/>
    <w:rPr>
      <w:rFonts w:ascii="Century Gothic" w:hAnsi="Century Gothic"/>
      <w:b/>
      <w:bCs/>
      <w:color w:val="FFFFFF" w:themeColor="background1"/>
      <w:sz w:val="18"/>
    </w:rPr>
  </w:style>
  <w:style w:type="table" w:styleId="Tabellaprofessionale">
    <w:name w:val="Table Professional"/>
    <w:basedOn w:val="Tabellanormale"/>
    <w:semiHidden/>
    <w:unhideWhenUsed/>
    <w:rsid w:val="008C2C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MTableHeaderChar">
    <w:name w:val="M Table Header Char"/>
    <w:basedOn w:val="Carpredefinitoparagrafo"/>
    <w:link w:val="MTableHeader"/>
    <w:rsid w:val="00115C55"/>
    <w:rPr>
      <w:rFonts w:ascii="Century Gothic" w:hAnsi="Century Gothic"/>
      <w:b/>
      <w:bCs/>
      <w:color w:val="FFFFFF" w:themeColor="background1"/>
      <w:sz w:val="18"/>
      <w:szCs w:val="24"/>
    </w:rPr>
  </w:style>
  <w:style w:type="paragraph" w:styleId="Titolosommario">
    <w:name w:val="TOC Heading"/>
    <w:basedOn w:val="Titolo1"/>
    <w:next w:val="Normale"/>
    <w:uiPriority w:val="39"/>
    <w:unhideWhenUsed/>
    <w:rsid w:val="00CB5A6C"/>
    <w:pPr>
      <w:keepLines/>
      <w:numPr>
        <w:numId w:val="0"/>
      </w:numPr>
      <w:spacing w:before="240" w:line="259" w:lineRule="auto"/>
      <w:outlineLvl w:val="9"/>
    </w:pPr>
    <w:rPr>
      <w:rFonts w:asciiTheme="majorHAnsi" w:eastAsiaTheme="majorEastAsia" w:hAnsiTheme="majorHAnsi" w:cstheme="majorBidi"/>
      <w:b w:val="0"/>
      <w:color w:val="9BBB59" w:themeColor="accent1" w:themeShade="BF"/>
      <w:sz w:val="32"/>
      <w:szCs w:val="32"/>
      <w:u w:val="none"/>
    </w:rPr>
  </w:style>
  <w:style w:type="paragraph" w:styleId="Sommario4">
    <w:name w:val="toc 4"/>
    <w:basedOn w:val="Normale"/>
    <w:next w:val="Normale"/>
    <w:autoRedefine/>
    <w:uiPriority w:val="39"/>
    <w:unhideWhenUsed/>
    <w:rsid w:val="006A2051"/>
    <w:pPr>
      <w:tabs>
        <w:tab w:val="right" w:leader="dot" w:pos="9060"/>
      </w:tabs>
      <w:spacing w:after="100"/>
      <w:ind w:left="2977" w:hanging="992"/>
    </w:pPr>
    <w:rPr>
      <w:rFonts w:ascii="Century Gothic" w:hAnsi="Century Gothic"/>
    </w:rPr>
  </w:style>
  <w:style w:type="paragraph" w:styleId="Sommario5">
    <w:name w:val="toc 5"/>
    <w:basedOn w:val="Normale"/>
    <w:next w:val="Normale"/>
    <w:autoRedefine/>
    <w:uiPriority w:val="39"/>
    <w:unhideWhenUsed/>
    <w:rsid w:val="00CB5A6C"/>
    <w:pPr>
      <w:spacing w:after="100"/>
      <w:ind w:left="960"/>
    </w:pPr>
  </w:style>
  <w:style w:type="paragraph" w:customStyle="1" w:styleId="MTablebullets">
    <w:name w:val="M Table bullets"/>
    <w:basedOn w:val="MBTbullets"/>
    <w:link w:val="MTablebulletsChar"/>
    <w:qFormat/>
    <w:rsid w:val="00337551"/>
    <w:pPr>
      <w:spacing w:before="0"/>
    </w:pPr>
    <w:rPr>
      <w:color w:val="000000"/>
      <w:sz w:val="18"/>
      <w:szCs w:val="20"/>
    </w:rPr>
  </w:style>
  <w:style w:type="character" w:customStyle="1" w:styleId="MTablebulletsChar">
    <w:name w:val="M Table bullets Char"/>
    <w:basedOn w:val="Carpredefinitoparagrafo"/>
    <w:link w:val="MTablebullets"/>
    <w:rsid w:val="00337551"/>
    <w:rPr>
      <w:rFonts w:ascii="Arial" w:hAnsi="Arial" w:cs="Arial"/>
      <w:bCs/>
      <w:color w:val="000000"/>
      <w:sz w:val="18"/>
    </w:rPr>
  </w:style>
  <w:style w:type="paragraph" w:customStyle="1" w:styleId="direction-ltr">
    <w:name w:val="direction-ltr"/>
    <w:basedOn w:val="Normale"/>
    <w:rsid w:val="00EC6EC7"/>
    <w:pPr>
      <w:spacing w:before="100" w:beforeAutospacing="1" w:after="100" w:afterAutospacing="1"/>
    </w:pPr>
    <w:rPr>
      <w:lang w:val="fr-BE" w:eastAsia="fr-BE"/>
    </w:rPr>
  </w:style>
  <w:style w:type="character" w:customStyle="1" w:styleId="TestocommentoCarattere">
    <w:name w:val="Testo commento Carattere"/>
    <w:basedOn w:val="Carpredefinitoparagrafo"/>
    <w:link w:val="Testocommento"/>
    <w:uiPriority w:val="99"/>
    <w:rsid w:val="005343D3"/>
  </w:style>
  <w:style w:type="numbering" w:customStyle="1" w:styleId="LFO2">
    <w:name w:val="LFO2"/>
    <w:basedOn w:val="Nessunelenco"/>
    <w:rsid w:val="00340FFD"/>
    <w:pPr>
      <w:numPr>
        <w:numId w:val="16"/>
      </w:numPr>
    </w:pPr>
  </w:style>
  <w:style w:type="paragraph" w:customStyle="1" w:styleId="BVIfnrCharCharCharChar">
    <w:name w:val="BVI fnr Char Char Char Char"/>
    <w:aliases w:val="BVI fnr Char Char1 Char Char,BVI fnr Car Car Char Char Char Char,BVI fnr Car Char Char Char Char,BVI fnr Car Car Car Car Char Char Char1 Char,BVI fnr Car Car Car Car Char Char Char Char Char Char"/>
    <w:basedOn w:val="Normale"/>
    <w:link w:val="Rimandonotaapidipagina"/>
    <w:uiPriority w:val="99"/>
    <w:rsid w:val="006B3845"/>
    <w:pPr>
      <w:spacing w:after="160" w:line="240" w:lineRule="exact"/>
    </w:pPr>
    <w:rPr>
      <w:sz w:val="16"/>
      <w:szCs w:val="20"/>
      <w:vertAlign w:val="superscript"/>
      <w:lang w:val="en-US"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e"/>
    <w:uiPriority w:val="99"/>
    <w:rsid w:val="00B8097A"/>
    <w:pPr>
      <w:spacing w:after="160" w:line="240" w:lineRule="exact"/>
    </w:pPr>
    <w:rPr>
      <w:rFonts w:asciiTheme="minorHAnsi" w:eastAsiaTheme="minorHAnsi" w:hAnsiTheme="minorHAnsi" w:cstheme="minorBidi"/>
      <w:sz w:val="22"/>
      <w:szCs w:val="22"/>
      <w:vertAlign w:val="superscript"/>
      <w:lang w:eastAsia="en-US"/>
    </w:rPr>
  </w:style>
  <w:style w:type="numbering" w:customStyle="1" w:styleId="LFO23">
    <w:name w:val="LFO23"/>
    <w:basedOn w:val="Nessunelenco"/>
    <w:rsid w:val="00340FFD"/>
    <w:pPr>
      <w:numPr>
        <w:numId w:val="1"/>
      </w:numPr>
    </w:pPr>
  </w:style>
  <w:style w:type="numbering" w:customStyle="1" w:styleId="LFO39">
    <w:name w:val="LFO39"/>
    <w:basedOn w:val="Nessunelenco"/>
    <w:rsid w:val="00340FFD"/>
    <w:pPr>
      <w:numPr>
        <w:numId w:val="12"/>
      </w:numPr>
    </w:pPr>
  </w:style>
  <w:style w:type="table" w:customStyle="1" w:styleId="Calendar2">
    <w:name w:val="Calendar 2"/>
    <w:basedOn w:val="Tabellanormale"/>
    <w:uiPriority w:val="99"/>
    <w:qFormat/>
    <w:rsid w:val="00991C00"/>
    <w:pPr>
      <w:jc w:val="center"/>
    </w:pPr>
    <w:rPr>
      <w:rFonts w:asciiTheme="minorHAnsi" w:eastAsiaTheme="minorEastAsia" w:hAnsiTheme="minorHAnsi" w:cstheme="minorBidi"/>
      <w:sz w:val="28"/>
      <w:szCs w:val="28"/>
    </w:rPr>
    <w:tblPr>
      <w:tblBorders>
        <w:insideV w:val="single" w:sz="4" w:space="0" w:color="DAE6C2" w:themeColor="accent1" w:themeTint="99"/>
      </w:tblBorders>
    </w:tblPr>
    <w:tblStylePr w:type="firstRow">
      <w:rPr>
        <w:rFonts w:asciiTheme="majorHAnsi" w:hAnsiTheme="majorHAnsi"/>
        <w:b w:val="0"/>
        <w:i w:val="0"/>
        <w:caps/>
        <w:smallCaps w:val="0"/>
        <w:color w:val="C3D69B" w:themeColor="accent1"/>
        <w:spacing w:val="20"/>
        <w:sz w:val="32"/>
      </w:rPr>
      <w:tblPr/>
      <w:tcPr>
        <w:tcBorders>
          <w:top w:val="nil"/>
          <w:left w:val="nil"/>
          <w:bottom w:val="nil"/>
          <w:right w:val="nil"/>
          <w:insideH w:val="nil"/>
          <w:insideV w:val="nil"/>
          <w:tl2br w:val="nil"/>
          <w:tr2bl w:val="nil"/>
        </w:tcBorders>
      </w:tcPr>
    </w:tblStylePr>
  </w:style>
  <w:style w:type="table" w:styleId="Elencochiaro-Colore3">
    <w:name w:val="Light List Accent 3"/>
    <w:basedOn w:val="Tabellanormale"/>
    <w:uiPriority w:val="61"/>
    <w:rsid w:val="002762A4"/>
    <w:rPr>
      <w:rFonts w:asciiTheme="minorHAnsi" w:eastAsiaTheme="minorEastAsia" w:hAnsiTheme="minorHAnsi" w:cstheme="minorBidi"/>
      <w:sz w:val="22"/>
      <w:szCs w:val="22"/>
    </w:rPr>
    <w:tblPr>
      <w:tblStyleRowBandSize w:val="1"/>
      <w:tblStyleColBandSize w:val="1"/>
      <w:tblBorders>
        <w:top w:val="single" w:sz="8" w:space="0" w:color="DBDBDB" w:themeColor="accent3"/>
        <w:left w:val="single" w:sz="8" w:space="0" w:color="DBDBDB" w:themeColor="accent3"/>
        <w:bottom w:val="single" w:sz="8" w:space="0" w:color="DBDBDB" w:themeColor="accent3"/>
        <w:right w:val="single" w:sz="8" w:space="0" w:color="DBDBDB" w:themeColor="accent3"/>
      </w:tblBorders>
    </w:tblPr>
    <w:tblStylePr w:type="firstRow">
      <w:pPr>
        <w:spacing w:before="0" w:after="0" w:line="240" w:lineRule="auto"/>
      </w:pPr>
      <w:rPr>
        <w:b/>
        <w:bCs/>
        <w:color w:val="FFFFFF" w:themeColor="background1"/>
      </w:rPr>
      <w:tblPr/>
      <w:tcPr>
        <w:shd w:val="clear" w:color="auto" w:fill="DBDBDB" w:themeFill="accent3"/>
      </w:tcPr>
    </w:tblStylePr>
    <w:tblStylePr w:type="lastRow">
      <w:pPr>
        <w:spacing w:before="0" w:after="0" w:line="240" w:lineRule="auto"/>
      </w:pPr>
      <w:rPr>
        <w:b/>
        <w:bCs/>
      </w:rPr>
      <w:tblPr/>
      <w:tcPr>
        <w:tcBorders>
          <w:top w:val="double" w:sz="6" w:space="0" w:color="DBDBDB" w:themeColor="accent3"/>
          <w:left w:val="single" w:sz="8" w:space="0" w:color="DBDBDB" w:themeColor="accent3"/>
          <w:bottom w:val="single" w:sz="8" w:space="0" w:color="DBDBDB" w:themeColor="accent3"/>
          <w:right w:val="single" w:sz="8" w:space="0" w:color="DBDBDB" w:themeColor="accent3"/>
        </w:tcBorders>
      </w:tcPr>
    </w:tblStylePr>
    <w:tblStylePr w:type="firstCol">
      <w:rPr>
        <w:b/>
        <w:bCs/>
      </w:rPr>
    </w:tblStylePr>
    <w:tblStylePr w:type="lastCol">
      <w:rPr>
        <w:b/>
        <w:bCs/>
      </w:rPr>
    </w:tblStylePr>
    <w:tblStylePr w:type="band1Vert">
      <w:tblPr/>
      <w:tcPr>
        <w:tcBorders>
          <w:top w:val="single" w:sz="8" w:space="0" w:color="DBDBDB" w:themeColor="accent3"/>
          <w:left w:val="single" w:sz="8" w:space="0" w:color="DBDBDB" w:themeColor="accent3"/>
          <w:bottom w:val="single" w:sz="8" w:space="0" w:color="DBDBDB" w:themeColor="accent3"/>
          <w:right w:val="single" w:sz="8" w:space="0" w:color="DBDBDB" w:themeColor="accent3"/>
        </w:tcBorders>
      </w:tcPr>
    </w:tblStylePr>
    <w:tblStylePr w:type="band1Horz">
      <w:tblPr/>
      <w:tcPr>
        <w:tcBorders>
          <w:top w:val="single" w:sz="8" w:space="0" w:color="DBDBDB" w:themeColor="accent3"/>
          <w:left w:val="single" w:sz="8" w:space="0" w:color="DBDBDB" w:themeColor="accent3"/>
          <w:bottom w:val="single" w:sz="8" w:space="0" w:color="DBDBDB" w:themeColor="accent3"/>
          <w:right w:val="single" w:sz="8" w:space="0" w:color="DBDBDB" w:themeColor="accent3"/>
        </w:tcBorders>
      </w:tcPr>
    </w:tblStylePr>
  </w:style>
  <w:style w:type="table" w:styleId="Elencochiaro-Colore1">
    <w:name w:val="Light List Accent 1"/>
    <w:basedOn w:val="Tabellanormale"/>
    <w:uiPriority w:val="61"/>
    <w:rsid w:val="0027675D"/>
    <w:tblPr>
      <w:tblStyleRowBandSize w:val="1"/>
      <w:tblStyleColBandSize w:val="1"/>
      <w:tblBorders>
        <w:top w:val="single" w:sz="8" w:space="0" w:color="C3D69B" w:themeColor="accent1"/>
        <w:left w:val="single" w:sz="8" w:space="0" w:color="C3D69B" w:themeColor="accent1"/>
        <w:bottom w:val="single" w:sz="8" w:space="0" w:color="C3D69B" w:themeColor="accent1"/>
        <w:right w:val="single" w:sz="8" w:space="0" w:color="C3D69B" w:themeColor="accent1"/>
      </w:tblBorders>
    </w:tblPr>
    <w:tblStylePr w:type="firstRow">
      <w:pPr>
        <w:spacing w:before="0" w:after="0" w:line="240" w:lineRule="auto"/>
      </w:pPr>
      <w:rPr>
        <w:b/>
        <w:bCs/>
        <w:color w:val="FFFFFF" w:themeColor="background1"/>
      </w:rPr>
      <w:tblPr/>
      <w:tcPr>
        <w:shd w:val="clear" w:color="auto" w:fill="C3D69B" w:themeFill="accent1"/>
      </w:tcPr>
    </w:tblStylePr>
    <w:tblStylePr w:type="lastRow">
      <w:pPr>
        <w:spacing w:before="0" w:after="0" w:line="240" w:lineRule="auto"/>
      </w:pPr>
      <w:rPr>
        <w:b/>
        <w:bCs/>
      </w:rPr>
      <w:tblPr/>
      <w:tcPr>
        <w:tcBorders>
          <w:top w:val="double" w:sz="6" w:space="0" w:color="C3D69B" w:themeColor="accent1"/>
          <w:left w:val="single" w:sz="8" w:space="0" w:color="C3D69B" w:themeColor="accent1"/>
          <w:bottom w:val="single" w:sz="8" w:space="0" w:color="C3D69B" w:themeColor="accent1"/>
          <w:right w:val="single" w:sz="8" w:space="0" w:color="C3D69B" w:themeColor="accent1"/>
        </w:tcBorders>
      </w:tcPr>
    </w:tblStylePr>
    <w:tblStylePr w:type="firstCol">
      <w:rPr>
        <w:b/>
        <w:bCs/>
      </w:rPr>
    </w:tblStylePr>
    <w:tblStylePr w:type="lastCol">
      <w:rPr>
        <w:b/>
        <w:bCs/>
      </w:rPr>
    </w:tblStylePr>
    <w:tblStylePr w:type="band1Vert">
      <w:tblPr/>
      <w:tcPr>
        <w:tcBorders>
          <w:top w:val="single" w:sz="8" w:space="0" w:color="C3D69B" w:themeColor="accent1"/>
          <w:left w:val="single" w:sz="8" w:space="0" w:color="C3D69B" w:themeColor="accent1"/>
          <w:bottom w:val="single" w:sz="8" w:space="0" w:color="C3D69B" w:themeColor="accent1"/>
          <w:right w:val="single" w:sz="8" w:space="0" w:color="C3D69B" w:themeColor="accent1"/>
        </w:tcBorders>
      </w:tcPr>
    </w:tblStylePr>
    <w:tblStylePr w:type="band1Horz">
      <w:tblPr/>
      <w:tcPr>
        <w:tcBorders>
          <w:top w:val="single" w:sz="8" w:space="0" w:color="C3D69B" w:themeColor="accent1"/>
          <w:left w:val="single" w:sz="8" w:space="0" w:color="C3D69B" w:themeColor="accent1"/>
          <w:bottom w:val="single" w:sz="8" w:space="0" w:color="C3D69B" w:themeColor="accent1"/>
          <w:right w:val="single" w:sz="8" w:space="0" w:color="C3D69B" w:themeColor="accent1"/>
        </w:tcBorders>
      </w:tcPr>
    </w:tblStylePr>
  </w:style>
  <w:style w:type="table" w:styleId="Tabellagriglia5scura-colore2">
    <w:name w:val="Grid Table 5 Dark Accent 2"/>
    <w:basedOn w:val="Tabellanormale"/>
    <w:uiPriority w:val="50"/>
    <w:rsid w:val="008716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D2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37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37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37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3735" w:themeFill="accent2"/>
      </w:tcPr>
    </w:tblStylePr>
    <w:tblStylePr w:type="band1Vert">
      <w:tblPr/>
      <w:tcPr>
        <w:shd w:val="clear" w:color="auto" w:fill="DEA5A4" w:themeFill="accent2" w:themeFillTint="66"/>
      </w:tcPr>
    </w:tblStylePr>
    <w:tblStylePr w:type="band1Horz">
      <w:tblPr/>
      <w:tcPr>
        <w:shd w:val="clear" w:color="auto" w:fill="DEA5A4" w:themeFill="accent2" w:themeFillTint="66"/>
      </w:tcPr>
    </w:tblStylePr>
  </w:style>
  <w:style w:type="table" w:customStyle="1" w:styleId="GridTable4-Accent111">
    <w:name w:val="Grid Table 4 - Accent 111"/>
    <w:basedOn w:val="Tabellanormale"/>
    <w:uiPriority w:val="49"/>
    <w:rsid w:val="00F72A5F"/>
    <w:rPr>
      <w:rFonts w:asciiTheme="minorHAnsi" w:hAnsiTheme="minorHAnsi" w:cstheme="minorBidi"/>
      <w:sz w:val="22"/>
      <w:szCs w:val="22"/>
    </w:rPr>
    <w:tblPr>
      <w:tblStyleRowBandSize w:val="1"/>
      <w:tblStyleColBandSize w:val="1"/>
      <w:tblBorders>
        <w:top w:val="single" w:sz="4" w:space="0" w:color="DAE6C2" w:themeColor="accent1" w:themeTint="99"/>
        <w:left w:val="single" w:sz="4" w:space="0" w:color="DAE6C2" w:themeColor="accent1" w:themeTint="99"/>
        <w:bottom w:val="single" w:sz="4" w:space="0" w:color="DAE6C2" w:themeColor="accent1" w:themeTint="99"/>
        <w:right w:val="single" w:sz="4" w:space="0" w:color="DAE6C2" w:themeColor="accent1" w:themeTint="99"/>
        <w:insideH w:val="single" w:sz="4" w:space="0" w:color="DAE6C2" w:themeColor="accent1" w:themeTint="99"/>
        <w:insideV w:val="single" w:sz="4" w:space="0" w:color="DAE6C2" w:themeColor="accent1" w:themeTint="99"/>
      </w:tblBorders>
    </w:tblPr>
    <w:tblStylePr w:type="firstRow">
      <w:rPr>
        <w:b/>
        <w:bCs/>
        <w:color w:val="FFFFFF" w:themeColor="background1"/>
      </w:rPr>
      <w:tblPr/>
      <w:tcPr>
        <w:tcBorders>
          <w:top w:val="single" w:sz="4" w:space="0" w:color="C3D69B" w:themeColor="accent1"/>
          <w:left w:val="single" w:sz="4" w:space="0" w:color="C3D69B" w:themeColor="accent1"/>
          <w:bottom w:val="single" w:sz="4" w:space="0" w:color="C3D69B" w:themeColor="accent1"/>
          <w:right w:val="single" w:sz="4" w:space="0" w:color="C3D69B" w:themeColor="accent1"/>
          <w:insideH w:val="nil"/>
          <w:insideV w:val="nil"/>
        </w:tcBorders>
        <w:shd w:val="clear" w:color="auto" w:fill="C3D69B" w:themeFill="accent1"/>
      </w:tcPr>
    </w:tblStylePr>
    <w:tblStylePr w:type="lastRow">
      <w:rPr>
        <w:b/>
        <w:bCs/>
      </w:rPr>
      <w:tblPr/>
      <w:tcPr>
        <w:tcBorders>
          <w:top w:val="double" w:sz="4" w:space="0" w:color="C3D69B" w:themeColor="accent1"/>
        </w:tcBorders>
      </w:tcPr>
    </w:tblStylePr>
    <w:tblStylePr w:type="firstCol">
      <w:rPr>
        <w:b/>
        <w:bCs/>
      </w:rPr>
    </w:tblStylePr>
    <w:tblStylePr w:type="lastCol">
      <w:rPr>
        <w:b/>
        <w:bCs/>
      </w:rPr>
    </w:tblStylePr>
    <w:tblStylePr w:type="band1Vert">
      <w:tblPr/>
      <w:tcPr>
        <w:shd w:val="clear" w:color="auto" w:fill="F2F6EA" w:themeFill="accent1" w:themeFillTint="33"/>
      </w:tcPr>
    </w:tblStylePr>
    <w:tblStylePr w:type="band1Horz">
      <w:tblPr/>
      <w:tcPr>
        <w:shd w:val="clear" w:color="auto" w:fill="F2F6EA" w:themeFill="accent1" w:themeFillTint="33"/>
      </w:tcPr>
    </w:tblStylePr>
  </w:style>
  <w:style w:type="table" w:customStyle="1" w:styleId="GridTable1Light-Accent31">
    <w:name w:val="Grid Table 1 Light - Accent 31"/>
    <w:basedOn w:val="Tabellanormale"/>
    <w:uiPriority w:val="46"/>
    <w:rsid w:val="004A6A41"/>
    <w:tblPr>
      <w:tblStyleRowBandSize w:val="1"/>
      <w:tblStyleColBandSize w:val="1"/>
      <w:tblBorders>
        <w:top w:val="single" w:sz="4" w:space="0" w:color="F0F0F0" w:themeColor="accent3" w:themeTint="66"/>
        <w:left w:val="single" w:sz="4" w:space="0" w:color="F0F0F0" w:themeColor="accent3" w:themeTint="66"/>
        <w:bottom w:val="single" w:sz="4" w:space="0" w:color="F0F0F0" w:themeColor="accent3" w:themeTint="66"/>
        <w:right w:val="single" w:sz="4" w:space="0" w:color="F0F0F0" w:themeColor="accent3" w:themeTint="66"/>
        <w:insideH w:val="single" w:sz="4" w:space="0" w:color="F0F0F0" w:themeColor="accent3" w:themeTint="66"/>
        <w:insideV w:val="single" w:sz="4" w:space="0" w:color="F0F0F0" w:themeColor="accent3" w:themeTint="66"/>
      </w:tblBorders>
    </w:tblPr>
    <w:tblStylePr w:type="firstRow">
      <w:rPr>
        <w:b/>
        <w:bCs/>
      </w:rPr>
      <w:tblPr/>
      <w:tcPr>
        <w:tcBorders>
          <w:bottom w:val="single" w:sz="12" w:space="0" w:color="E9E9E9" w:themeColor="accent3" w:themeTint="99"/>
        </w:tcBorders>
      </w:tcPr>
    </w:tblStylePr>
    <w:tblStylePr w:type="lastRow">
      <w:rPr>
        <w:b/>
        <w:bCs/>
      </w:rPr>
      <w:tblPr/>
      <w:tcPr>
        <w:tcBorders>
          <w:top w:val="double" w:sz="2" w:space="0" w:color="E9E9E9" w:themeColor="accent3" w:themeTint="99"/>
        </w:tcBorders>
      </w:tcPr>
    </w:tblStylePr>
    <w:tblStylePr w:type="firstCol">
      <w:rPr>
        <w:b/>
        <w:bCs/>
      </w:rPr>
    </w:tblStylePr>
    <w:tblStylePr w:type="lastCol">
      <w:rPr>
        <w:b/>
        <w:bCs/>
      </w:rPr>
    </w:tblStylePr>
  </w:style>
  <w:style w:type="table" w:customStyle="1" w:styleId="GridTable2-Accent31">
    <w:name w:val="Grid Table 2 - Accent 31"/>
    <w:basedOn w:val="Tabellanormale"/>
    <w:uiPriority w:val="47"/>
    <w:rsid w:val="004A6A41"/>
    <w:tblPr>
      <w:tblStyleRowBandSize w:val="1"/>
      <w:tblStyleColBandSize w:val="1"/>
      <w:tblBorders>
        <w:top w:val="single" w:sz="2" w:space="0" w:color="E9E9E9" w:themeColor="accent3" w:themeTint="99"/>
        <w:bottom w:val="single" w:sz="2" w:space="0" w:color="E9E9E9" w:themeColor="accent3" w:themeTint="99"/>
        <w:insideH w:val="single" w:sz="2" w:space="0" w:color="E9E9E9" w:themeColor="accent3" w:themeTint="99"/>
        <w:insideV w:val="single" w:sz="2" w:space="0" w:color="E9E9E9" w:themeColor="accent3" w:themeTint="99"/>
      </w:tblBorders>
    </w:tblPr>
    <w:tblStylePr w:type="firstRow">
      <w:rPr>
        <w:b/>
        <w:bCs/>
      </w:rPr>
      <w:tblPr/>
      <w:tcPr>
        <w:tcBorders>
          <w:top w:val="nil"/>
          <w:bottom w:val="single" w:sz="12" w:space="0" w:color="E9E9E9" w:themeColor="accent3" w:themeTint="99"/>
          <w:insideH w:val="nil"/>
          <w:insideV w:val="nil"/>
        </w:tcBorders>
        <w:shd w:val="clear" w:color="auto" w:fill="FFFFFF" w:themeFill="background1"/>
      </w:tcPr>
    </w:tblStylePr>
    <w:tblStylePr w:type="lastRow">
      <w:rPr>
        <w:b/>
        <w:bCs/>
      </w:rPr>
      <w:tblPr/>
      <w:tcPr>
        <w:tcBorders>
          <w:top w:val="double" w:sz="2" w:space="0" w:color="E9E9E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7F7" w:themeFill="accent3" w:themeFillTint="33"/>
      </w:tcPr>
    </w:tblStylePr>
    <w:tblStylePr w:type="band1Horz">
      <w:tblPr/>
      <w:tcPr>
        <w:shd w:val="clear" w:color="auto" w:fill="F7F7F7" w:themeFill="accent3" w:themeFillTint="33"/>
      </w:tcPr>
    </w:tblStylePr>
  </w:style>
  <w:style w:type="table" w:customStyle="1" w:styleId="TableGrid1">
    <w:name w:val="Table Grid1"/>
    <w:basedOn w:val="Tabellanormale"/>
    <w:next w:val="Grigliatabella"/>
    <w:uiPriority w:val="39"/>
    <w:rsid w:val="00531C71"/>
    <w:rPr>
      <w:rFonts w:ascii="Calibri" w:eastAsia="Calibri" w:hAnsi="Calibr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Carpredefinitoparagrafo"/>
    <w:uiPriority w:val="99"/>
    <w:semiHidden/>
    <w:unhideWhenUsed/>
    <w:rsid w:val="00287ECC"/>
    <w:rPr>
      <w:color w:val="605E5C"/>
      <w:shd w:val="clear" w:color="auto" w:fill="E1DFDD"/>
    </w:rPr>
  </w:style>
  <w:style w:type="paragraph" w:styleId="Sommario6">
    <w:name w:val="toc 6"/>
    <w:basedOn w:val="Normale"/>
    <w:next w:val="Normale"/>
    <w:autoRedefine/>
    <w:uiPriority w:val="39"/>
    <w:unhideWhenUsed/>
    <w:rsid w:val="00284B0D"/>
    <w:pPr>
      <w:spacing w:after="100" w:line="259" w:lineRule="auto"/>
      <w:ind w:left="1100"/>
    </w:pPr>
    <w:rPr>
      <w:rFonts w:asciiTheme="minorHAnsi" w:eastAsiaTheme="minorEastAsia" w:hAnsiTheme="minorHAnsi" w:cstheme="minorBidi"/>
      <w:sz w:val="22"/>
      <w:szCs w:val="22"/>
      <w:lang w:val="fr-BE" w:eastAsia="fr-BE"/>
    </w:rPr>
  </w:style>
  <w:style w:type="paragraph" w:styleId="Sommario7">
    <w:name w:val="toc 7"/>
    <w:basedOn w:val="Normale"/>
    <w:next w:val="Normale"/>
    <w:autoRedefine/>
    <w:uiPriority w:val="39"/>
    <w:unhideWhenUsed/>
    <w:rsid w:val="00284B0D"/>
    <w:pPr>
      <w:spacing w:after="100" w:line="259" w:lineRule="auto"/>
      <w:ind w:left="1320"/>
    </w:pPr>
    <w:rPr>
      <w:rFonts w:asciiTheme="minorHAnsi" w:eastAsiaTheme="minorEastAsia" w:hAnsiTheme="minorHAnsi" w:cstheme="minorBidi"/>
      <w:sz w:val="22"/>
      <w:szCs w:val="22"/>
      <w:lang w:val="fr-BE" w:eastAsia="fr-BE"/>
    </w:rPr>
  </w:style>
  <w:style w:type="paragraph" w:styleId="Sommario8">
    <w:name w:val="toc 8"/>
    <w:basedOn w:val="Normale"/>
    <w:next w:val="Normale"/>
    <w:autoRedefine/>
    <w:uiPriority w:val="39"/>
    <w:unhideWhenUsed/>
    <w:rsid w:val="00284B0D"/>
    <w:pPr>
      <w:spacing w:after="100" w:line="259" w:lineRule="auto"/>
      <w:ind w:left="1540"/>
    </w:pPr>
    <w:rPr>
      <w:rFonts w:asciiTheme="minorHAnsi" w:eastAsiaTheme="minorEastAsia" w:hAnsiTheme="minorHAnsi" w:cstheme="minorBidi"/>
      <w:sz w:val="22"/>
      <w:szCs w:val="22"/>
      <w:lang w:val="fr-BE" w:eastAsia="fr-BE"/>
    </w:rPr>
  </w:style>
  <w:style w:type="paragraph" w:styleId="Sommario9">
    <w:name w:val="toc 9"/>
    <w:basedOn w:val="Normale"/>
    <w:next w:val="Normale"/>
    <w:autoRedefine/>
    <w:uiPriority w:val="39"/>
    <w:unhideWhenUsed/>
    <w:rsid w:val="00284B0D"/>
    <w:pPr>
      <w:spacing w:after="100" w:line="259" w:lineRule="auto"/>
      <w:ind w:left="1760"/>
    </w:pPr>
    <w:rPr>
      <w:rFonts w:asciiTheme="minorHAnsi" w:eastAsiaTheme="minorEastAsia" w:hAnsiTheme="minorHAnsi" w:cstheme="minorBidi"/>
      <w:sz w:val="22"/>
      <w:szCs w:val="22"/>
      <w:lang w:val="fr-BE" w:eastAsia="fr-BE"/>
    </w:rPr>
  </w:style>
  <w:style w:type="character" w:customStyle="1" w:styleId="UnresolvedMention2">
    <w:name w:val="Unresolved Mention2"/>
    <w:basedOn w:val="Carpredefinitoparagrafo"/>
    <w:uiPriority w:val="99"/>
    <w:semiHidden/>
    <w:unhideWhenUsed/>
    <w:rsid w:val="00284B0D"/>
    <w:rPr>
      <w:color w:val="605E5C"/>
      <w:shd w:val="clear" w:color="auto" w:fill="E1DFDD"/>
    </w:rPr>
  </w:style>
  <w:style w:type="paragraph" w:customStyle="1" w:styleId="MBulletpoints">
    <w:name w:val="M Bullet points"/>
    <w:basedOn w:val="MBTbullets"/>
    <w:link w:val="MBulletpointsChar"/>
    <w:rsid w:val="00244B4E"/>
  </w:style>
  <w:style w:type="character" w:customStyle="1" w:styleId="MBulletpointsChar">
    <w:name w:val="M Bullet points Char"/>
    <w:basedOn w:val="MBTbulletsChar"/>
    <w:link w:val="MBulletpoints"/>
    <w:rsid w:val="00244B4E"/>
    <w:rPr>
      <w:rFonts w:ascii="Arial" w:hAnsi="Arial" w:cs="Arial"/>
      <w:bCs/>
      <w:sz w:val="22"/>
      <w:szCs w:val="22"/>
      <w:lang w:val="en-US"/>
    </w:rPr>
  </w:style>
  <w:style w:type="table" w:customStyle="1" w:styleId="MBox">
    <w:name w:val="M Box"/>
    <w:basedOn w:val="Tabellanormale"/>
    <w:uiPriority w:val="99"/>
    <w:rsid w:val="00E45268"/>
    <w:pPr>
      <w:spacing w:before="120" w:after="120"/>
    </w:pPr>
    <w:rPr>
      <w:color w:val="000000" w:themeColor="text1"/>
    </w:rPr>
    <w:tblPr>
      <w:tblBorders>
        <w:top w:val="single" w:sz="4" w:space="0" w:color="auto"/>
        <w:left w:val="single" w:sz="4" w:space="0" w:color="auto"/>
        <w:bottom w:val="single" w:sz="4" w:space="0" w:color="auto"/>
        <w:right w:val="single" w:sz="4" w:space="0" w:color="auto"/>
      </w:tblBorders>
    </w:tblPr>
    <w:tcPr>
      <w:shd w:val="clear" w:color="auto" w:fill="EAF1DD"/>
    </w:tcPr>
  </w:style>
  <w:style w:type="numbering" w:customStyle="1" w:styleId="Style1">
    <w:name w:val="Style1"/>
    <w:uiPriority w:val="99"/>
    <w:rsid w:val="001C6DDB"/>
    <w:pPr>
      <w:numPr>
        <w:numId w:val="17"/>
      </w:numPr>
    </w:pPr>
  </w:style>
  <w:style w:type="numbering" w:customStyle="1" w:styleId="MProposallevels">
    <w:name w:val="M Proposal levels"/>
    <w:uiPriority w:val="99"/>
    <w:rsid w:val="001C6DDB"/>
    <w:pPr>
      <w:numPr>
        <w:numId w:val="18"/>
      </w:numPr>
    </w:pPr>
  </w:style>
  <w:style w:type="paragraph" w:customStyle="1" w:styleId="TableBT">
    <w:name w:val="Table BT"/>
    <w:basedOn w:val="MBT"/>
    <w:link w:val="TableBTChar"/>
    <w:rsid w:val="00F87997"/>
    <w:pPr>
      <w:spacing w:before="0" w:after="60"/>
    </w:pPr>
    <w:rPr>
      <w:color w:val="FFFFFF"/>
    </w:rPr>
  </w:style>
  <w:style w:type="paragraph" w:customStyle="1" w:styleId="MTableBT">
    <w:name w:val="M Table BT"/>
    <w:basedOn w:val="MBT"/>
    <w:link w:val="MTableBTChar"/>
    <w:rsid w:val="003127D3"/>
    <w:pPr>
      <w:spacing w:before="0" w:after="0"/>
    </w:pPr>
    <w:rPr>
      <w:sz w:val="20"/>
    </w:rPr>
  </w:style>
  <w:style w:type="character" w:customStyle="1" w:styleId="TableBTChar">
    <w:name w:val="Table BT Char"/>
    <w:basedOn w:val="MBTChar"/>
    <w:link w:val="TableBT"/>
    <w:rsid w:val="00F87997"/>
    <w:rPr>
      <w:rFonts w:ascii="Arial" w:hAnsi="Arial"/>
      <w:bCs/>
      <w:color w:val="FFFFFF"/>
      <w:sz w:val="22"/>
      <w:szCs w:val="22"/>
      <w:lang w:val="en-US" w:eastAsia="fr-FR"/>
    </w:rPr>
  </w:style>
  <w:style w:type="character" w:customStyle="1" w:styleId="MTableBTChar">
    <w:name w:val="M Table BT Char"/>
    <w:basedOn w:val="MTablebulletsChar"/>
    <w:link w:val="MTableBT"/>
    <w:rsid w:val="003127D3"/>
    <w:rPr>
      <w:rFonts w:ascii="Arial" w:eastAsia="Calibri" w:hAnsi="Arial" w:cs="Arial"/>
      <w:bCs w:val="0"/>
      <w:color w:val="000000"/>
      <w:sz w:val="18"/>
      <w:szCs w:val="22"/>
      <w:lang w:val="en-US" w:eastAsia="en-US"/>
    </w:rPr>
  </w:style>
  <w:style w:type="paragraph" w:customStyle="1" w:styleId="1Sub-heading">
    <w:name w:val="1. Sub-heading"/>
    <w:basedOn w:val="Titolo5"/>
    <w:next w:val="MBT"/>
    <w:link w:val="1Sub-headingChar"/>
    <w:qFormat/>
    <w:rsid w:val="00486340"/>
    <w:pPr>
      <w:keepNext/>
      <w:numPr>
        <w:ilvl w:val="0"/>
        <w:numId w:val="0"/>
      </w:numPr>
      <w:spacing w:after="240"/>
    </w:pPr>
    <w:rPr>
      <w:rFonts w:ascii="Arial" w:hAnsi="Arial" w:cs="Arial"/>
      <w:color w:val="7FB800"/>
      <w:sz w:val="24"/>
      <w:szCs w:val="24"/>
      <w:lang w:eastAsia="en-GB"/>
    </w:rPr>
  </w:style>
  <w:style w:type="character" w:customStyle="1" w:styleId="1Sub-headingChar">
    <w:name w:val="1. Sub-heading Char"/>
    <w:basedOn w:val="Carpredefinitoparagrafo"/>
    <w:link w:val="1Sub-heading"/>
    <w:rsid w:val="00486340"/>
    <w:rPr>
      <w:rFonts w:ascii="Arial" w:hAnsi="Arial" w:cs="Arial"/>
      <w:b/>
      <w:bCs/>
      <w:i/>
      <w:iCs/>
      <w:color w:val="7FB800"/>
      <w:sz w:val="24"/>
      <w:szCs w:val="24"/>
      <w:lang w:val="en-GB" w:eastAsia="en-GB"/>
    </w:rPr>
  </w:style>
  <w:style w:type="paragraph" w:customStyle="1" w:styleId="Tablelist">
    <w:name w:val="Table list"/>
    <w:basedOn w:val="Normale"/>
    <w:link w:val="TablelistChar"/>
    <w:rsid w:val="0025458D"/>
    <w:pPr>
      <w:ind w:left="360" w:hanging="360"/>
    </w:pPr>
    <w:rPr>
      <w:rFonts w:eastAsia="Calibri"/>
      <w:sz w:val="18"/>
      <w:szCs w:val="18"/>
      <w:lang w:val="fr-BE"/>
    </w:rPr>
  </w:style>
  <w:style w:type="character" w:customStyle="1" w:styleId="TablelistChar">
    <w:name w:val="Table list Char"/>
    <w:basedOn w:val="Carpredefinitoparagrafo"/>
    <w:link w:val="Tablelist"/>
    <w:rsid w:val="0025458D"/>
    <w:rPr>
      <w:rFonts w:eastAsia="Calibri"/>
      <w:sz w:val="18"/>
      <w:szCs w:val="18"/>
      <w:lang w:val="fr-BE"/>
    </w:rPr>
  </w:style>
  <w:style w:type="paragraph" w:customStyle="1" w:styleId="Sub-heading1">
    <w:name w:val="Sub-heading 1"/>
    <w:basedOn w:val="Titolo5"/>
    <w:link w:val="Sub-heading1Char"/>
    <w:rsid w:val="00673B9D"/>
    <w:pPr>
      <w:numPr>
        <w:ilvl w:val="0"/>
        <w:numId w:val="0"/>
      </w:numPr>
      <w:spacing w:after="240"/>
    </w:pPr>
    <w:rPr>
      <w:rFonts w:ascii="Century Gothic" w:hAnsi="Century Gothic"/>
      <w:color w:val="7FB800"/>
      <w:sz w:val="22"/>
      <w:lang w:eastAsia="en-GB"/>
    </w:rPr>
  </w:style>
  <w:style w:type="character" w:customStyle="1" w:styleId="Sub-heading1Char">
    <w:name w:val="Sub-heading 1 Char"/>
    <w:basedOn w:val="Carpredefinitoparagrafo"/>
    <w:link w:val="Sub-heading1"/>
    <w:rsid w:val="00673B9D"/>
    <w:rPr>
      <w:rFonts w:ascii="Century Gothic" w:hAnsi="Century Gothic"/>
      <w:b/>
      <w:bCs/>
      <w:i/>
      <w:iCs/>
      <w:color w:val="7FB800"/>
      <w:sz w:val="22"/>
      <w:szCs w:val="26"/>
      <w:lang w:val="en-GB" w:eastAsia="en-GB"/>
    </w:rPr>
  </w:style>
  <w:style w:type="table" w:customStyle="1" w:styleId="MProposalTable1">
    <w:name w:val="M Proposal Table1"/>
    <w:basedOn w:val="Tabellanormale"/>
    <w:uiPriority w:val="99"/>
    <w:rsid w:val="001E0479"/>
    <w:rPr>
      <w:rFonts w:ascii="Century Gothic" w:hAnsi="Century Gothic"/>
      <w:color w:val="000000" w:themeColor="text1"/>
      <w:sz w:val="18"/>
      <w:lang w:val="en-GB" w:eastAsia="en-GB"/>
    </w:rPr>
    <w:tblPr>
      <w:tblInd w:w="0" w:type="nil"/>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6E6E6"/>
    </w:tcPr>
    <w:tblStylePr w:type="firstRow">
      <w:rPr>
        <w:rFonts w:ascii="Century Gothic" w:hAnsi="Century Gothic" w:hint="default"/>
        <w:b/>
        <w:sz w:val="18"/>
        <w:szCs w:val="18"/>
      </w:rPr>
      <w:tblPr/>
      <w:tcPr>
        <w:shd w:val="clear" w:color="auto" w:fill="E6EED6" w:themeFill="accent1" w:themeFillTint="66"/>
      </w:tcPr>
    </w:tblStylePr>
  </w:style>
  <w:style w:type="table" w:customStyle="1" w:styleId="Calendar3">
    <w:name w:val="Calendar 3"/>
    <w:basedOn w:val="Tabellanormale"/>
    <w:uiPriority w:val="99"/>
    <w:qFormat/>
    <w:rsid w:val="003E5F20"/>
    <w:pPr>
      <w:jc w:val="right"/>
    </w:pPr>
    <w:rPr>
      <w:rFonts w:asciiTheme="majorHAnsi" w:eastAsiaTheme="majorEastAsia" w:hAnsiTheme="majorHAnsi" w:cstheme="majorBidi"/>
      <w:color w:val="000000" w:themeColor="text1"/>
      <w:sz w:val="22"/>
      <w:szCs w:val="22"/>
    </w:rPr>
    <w:tblPr/>
    <w:tblStylePr w:type="firstRow">
      <w:pPr>
        <w:wordWrap/>
        <w:jc w:val="right"/>
      </w:pPr>
      <w:rPr>
        <w:color w:val="C3D69B" w:themeColor="accent1"/>
        <w:sz w:val="44"/>
      </w:rPr>
    </w:tblStylePr>
    <w:tblStylePr w:type="firstCol">
      <w:rPr>
        <w:color w:val="C3D69B" w:themeColor="accent1"/>
      </w:rPr>
    </w:tblStylePr>
    <w:tblStylePr w:type="lastCol">
      <w:rPr>
        <w:color w:val="C3D69B" w:themeColor="accent1"/>
      </w:rPr>
    </w:tblStylePr>
  </w:style>
  <w:style w:type="table" w:styleId="Tabellagriglia4-colore1">
    <w:name w:val="Grid Table 4 Accent 1"/>
    <w:basedOn w:val="Tabellanormale"/>
    <w:uiPriority w:val="49"/>
    <w:rsid w:val="00800FAF"/>
    <w:rPr>
      <w:lang w:val="en-GB" w:eastAsia="en-GB"/>
    </w:rPr>
    <w:tblPr>
      <w:tblStyleRowBandSize w:val="1"/>
      <w:tblStyleColBandSize w:val="1"/>
      <w:tblBorders>
        <w:top w:val="single" w:sz="4" w:space="0" w:color="DAE6C2" w:themeColor="accent1" w:themeTint="99"/>
        <w:left w:val="single" w:sz="4" w:space="0" w:color="DAE6C2" w:themeColor="accent1" w:themeTint="99"/>
        <w:bottom w:val="single" w:sz="4" w:space="0" w:color="DAE6C2" w:themeColor="accent1" w:themeTint="99"/>
        <w:right w:val="single" w:sz="4" w:space="0" w:color="DAE6C2" w:themeColor="accent1" w:themeTint="99"/>
        <w:insideH w:val="single" w:sz="4" w:space="0" w:color="DAE6C2" w:themeColor="accent1" w:themeTint="99"/>
        <w:insideV w:val="single" w:sz="4" w:space="0" w:color="DAE6C2" w:themeColor="accent1" w:themeTint="99"/>
      </w:tblBorders>
    </w:tblPr>
    <w:tblStylePr w:type="firstRow">
      <w:rPr>
        <w:b/>
        <w:bCs/>
        <w:color w:val="FFFFFF" w:themeColor="background1"/>
      </w:rPr>
      <w:tblPr/>
      <w:tcPr>
        <w:tcBorders>
          <w:top w:val="single" w:sz="4" w:space="0" w:color="C3D69B" w:themeColor="accent1"/>
          <w:left w:val="single" w:sz="4" w:space="0" w:color="C3D69B" w:themeColor="accent1"/>
          <w:bottom w:val="single" w:sz="4" w:space="0" w:color="C3D69B" w:themeColor="accent1"/>
          <w:right w:val="single" w:sz="4" w:space="0" w:color="C3D69B" w:themeColor="accent1"/>
          <w:insideH w:val="nil"/>
          <w:insideV w:val="nil"/>
        </w:tcBorders>
        <w:shd w:val="clear" w:color="auto" w:fill="C3D69B" w:themeFill="accent1"/>
      </w:tcPr>
    </w:tblStylePr>
    <w:tblStylePr w:type="lastRow">
      <w:rPr>
        <w:b/>
        <w:bCs/>
      </w:rPr>
      <w:tblPr/>
      <w:tcPr>
        <w:tcBorders>
          <w:top w:val="double" w:sz="4" w:space="0" w:color="C3D69B" w:themeColor="accent1"/>
        </w:tcBorders>
      </w:tcPr>
    </w:tblStylePr>
    <w:tblStylePr w:type="firstCol">
      <w:rPr>
        <w:b/>
        <w:bCs/>
      </w:rPr>
    </w:tblStylePr>
    <w:tblStylePr w:type="lastCol">
      <w:rPr>
        <w:b/>
        <w:bCs/>
      </w:rPr>
    </w:tblStylePr>
    <w:tblStylePr w:type="band1Vert">
      <w:tblPr/>
      <w:tcPr>
        <w:shd w:val="clear" w:color="auto" w:fill="F2F6EA" w:themeFill="accent1" w:themeFillTint="33"/>
      </w:tcPr>
    </w:tblStylePr>
    <w:tblStylePr w:type="band1Horz">
      <w:tblPr/>
      <w:tcPr>
        <w:shd w:val="clear" w:color="auto" w:fill="F2F6EA" w:themeFill="accent1" w:themeFillTint="33"/>
      </w:tcPr>
    </w:tblStylePr>
  </w:style>
  <w:style w:type="table" w:styleId="Tabellagriglia5scura-colore5">
    <w:name w:val="Grid Table 5 Dark Accent 5"/>
    <w:basedOn w:val="Tabellanormale"/>
    <w:uiPriority w:val="50"/>
    <w:rsid w:val="004455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EE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5D8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5D8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5D8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5D8A" w:themeFill="accent5"/>
      </w:tcPr>
    </w:tblStylePr>
    <w:tblStylePr w:type="band1Vert">
      <w:tblPr/>
      <w:tcPr>
        <w:shd w:val="clear" w:color="auto" w:fill="A4BDDA" w:themeFill="accent5" w:themeFillTint="66"/>
      </w:tcPr>
    </w:tblStylePr>
    <w:tblStylePr w:type="band1Horz">
      <w:tblPr/>
      <w:tcPr>
        <w:shd w:val="clear" w:color="auto" w:fill="A4BDDA" w:themeFill="accent5" w:themeFillTint="66"/>
      </w:tcPr>
    </w:tblStylePr>
  </w:style>
  <w:style w:type="character" w:styleId="Menzionenonrisolta">
    <w:name w:val="Unresolved Mention"/>
    <w:basedOn w:val="Carpredefinitoparagrafo"/>
    <w:uiPriority w:val="99"/>
    <w:semiHidden/>
    <w:unhideWhenUsed/>
    <w:rsid w:val="00F01A32"/>
    <w:rPr>
      <w:color w:val="605E5C"/>
      <w:shd w:val="clear" w:color="auto" w:fill="E1DFDD"/>
    </w:rPr>
  </w:style>
  <w:style w:type="character" w:customStyle="1" w:styleId="ff6">
    <w:name w:val="ff6"/>
    <w:basedOn w:val="Carpredefinitoparagrafo"/>
    <w:rsid w:val="00731AA2"/>
  </w:style>
  <w:style w:type="paragraph" w:customStyle="1" w:styleId="MMultilevel">
    <w:name w:val="M Multilevel"/>
    <w:basedOn w:val="Normale"/>
    <w:qFormat/>
    <w:rsid w:val="00A54FD3"/>
    <w:pPr>
      <w:widowControl w:val="0"/>
      <w:ind w:left="425" w:hanging="425"/>
    </w:pPr>
    <w:rPr>
      <w:bCs/>
      <w:lang w:val="en-US"/>
    </w:rPr>
  </w:style>
  <w:style w:type="paragraph" w:styleId="Revisione">
    <w:name w:val="Revision"/>
    <w:hidden/>
    <w:uiPriority w:val="99"/>
    <w:semiHidden/>
    <w:rsid w:val="00F75182"/>
    <w:rPr>
      <w:sz w:val="24"/>
      <w:szCs w:val="24"/>
      <w:lang w:val="en-GB" w:eastAsia="fr-FR"/>
    </w:rPr>
  </w:style>
  <w:style w:type="character" w:customStyle="1" w:styleId="markedcontent">
    <w:name w:val="markedcontent"/>
    <w:basedOn w:val="Carpredefinitoparagrafo"/>
    <w:rsid w:val="0024389C"/>
    <w:rPr>
      <w:rFonts w:cs="Times New Roman"/>
    </w:rPr>
  </w:style>
  <w:style w:type="paragraph" w:styleId="Testonotadichiusura">
    <w:name w:val="endnote text"/>
    <w:basedOn w:val="Normale"/>
    <w:link w:val="TestonotadichiusuraCarattere"/>
    <w:semiHidden/>
    <w:unhideWhenUsed/>
    <w:rsid w:val="00D23420"/>
    <w:rPr>
      <w:sz w:val="20"/>
      <w:szCs w:val="20"/>
    </w:rPr>
  </w:style>
  <w:style w:type="character" w:customStyle="1" w:styleId="TestonotadichiusuraCarattere">
    <w:name w:val="Testo nota di chiusura Carattere"/>
    <w:basedOn w:val="Carpredefinitoparagrafo"/>
    <w:link w:val="Testonotadichiusura"/>
    <w:semiHidden/>
    <w:rsid w:val="00D23420"/>
    <w:rPr>
      <w:lang w:val="en-GB" w:eastAsia="fr-FR"/>
    </w:rPr>
  </w:style>
  <w:style w:type="character" w:styleId="Rimandonotadichiusura">
    <w:name w:val="endnote reference"/>
    <w:basedOn w:val="Carpredefinitoparagrafo"/>
    <w:semiHidden/>
    <w:unhideWhenUsed/>
    <w:rsid w:val="00D23420"/>
    <w:rPr>
      <w:vertAlign w:val="superscript"/>
    </w:rPr>
  </w:style>
  <w:style w:type="table" w:customStyle="1" w:styleId="ListTable1Light1">
    <w:name w:val="List Table 1 Light1"/>
    <w:basedOn w:val="Tabellanormale"/>
    <w:next w:val="Tabellaelenco1chiara"/>
    <w:uiPriority w:val="46"/>
    <w:rsid w:val="0055056D"/>
    <w:pPr>
      <w:spacing w:after="160" w:line="259" w:lineRule="auto"/>
    </w:pPr>
    <w:rPr>
      <w:rFonts w:ascii="Calibri" w:eastAsia="MS Mincho" w:hAnsi="Calibri"/>
      <w:sz w:val="22"/>
      <w:szCs w:val="22"/>
      <w:lang w:val="en-GB"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laelenco1chiara">
    <w:name w:val="List Table 1 Light"/>
    <w:basedOn w:val="Tabellanormale"/>
    <w:uiPriority w:val="46"/>
    <w:rsid w:val="005505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2665">
      <w:bodyDiv w:val="1"/>
      <w:marLeft w:val="0"/>
      <w:marRight w:val="0"/>
      <w:marTop w:val="0"/>
      <w:marBottom w:val="0"/>
      <w:divBdr>
        <w:top w:val="none" w:sz="0" w:space="0" w:color="auto"/>
        <w:left w:val="none" w:sz="0" w:space="0" w:color="auto"/>
        <w:bottom w:val="none" w:sz="0" w:space="0" w:color="auto"/>
        <w:right w:val="none" w:sz="0" w:space="0" w:color="auto"/>
      </w:divBdr>
      <w:divsChild>
        <w:div w:id="311761445">
          <w:marLeft w:val="0"/>
          <w:marRight w:val="0"/>
          <w:marTop w:val="0"/>
          <w:marBottom w:val="0"/>
          <w:divBdr>
            <w:top w:val="none" w:sz="0" w:space="0" w:color="auto"/>
            <w:left w:val="none" w:sz="0" w:space="0" w:color="auto"/>
            <w:bottom w:val="none" w:sz="0" w:space="0" w:color="auto"/>
            <w:right w:val="none" w:sz="0" w:space="0" w:color="auto"/>
          </w:divBdr>
          <w:divsChild>
            <w:div w:id="118450594">
              <w:marLeft w:val="3225"/>
              <w:marRight w:val="0"/>
              <w:marTop w:val="0"/>
              <w:marBottom w:val="0"/>
              <w:divBdr>
                <w:top w:val="none" w:sz="0" w:space="0" w:color="auto"/>
                <w:left w:val="none" w:sz="0" w:space="0" w:color="auto"/>
                <w:bottom w:val="none" w:sz="0" w:space="0" w:color="auto"/>
                <w:right w:val="none" w:sz="0" w:space="0" w:color="auto"/>
              </w:divBdr>
              <w:divsChild>
                <w:div w:id="843327454">
                  <w:marLeft w:val="90"/>
                  <w:marRight w:val="0"/>
                  <w:marTop w:val="0"/>
                  <w:marBottom w:val="0"/>
                  <w:divBdr>
                    <w:top w:val="single" w:sz="6" w:space="0" w:color="EEEEEE"/>
                    <w:left w:val="none" w:sz="0" w:space="0" w:color="auto"/>
                    <w:bottom w:val="none" w:sz="0" w:space="0" w:color="auto"/>
                    <w:right w:val="none" w:sz="0" w:space="0" w:color="auto"/>
                  </w:divBdr>
                  <w:divsChild>
                    <w:div w:id="549151872">
                      <w:marLeft w:val="0"/>
                      <w:marRight w:val="0"/>
                      <w:marTop w:val="0"/>
                      <w:marBottom w:val="0"/>
                      <w:divBdr>
                        <w:top w:val="none" w:sz="0" w:space="0" w:color="auto"/>
                        <w:left w:val="none" w:sz="0" w:space="0" w:color="auto"/>
                        <w:bottom w:val="none" w:sz="0" w:space="0" w:color="auto"/>
                        <w:right w:val="none" w:sz="0" w:space="0" w:color="auto"/>
                      </w:divBdr>
                      <w:divsChild>
                        <w:div w:id="11738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9141">
      <w:bodyDiv w:val="1"/>
      <w:marLeft w:val="0"/>
      <w:marRight w:val="0"/>
      <w:marTop w:val="0"/>
      <w:marBottom w:val="0"/>
      <w:divBdr>
        <w:top w:val="none" w:sz="0" w:space="0" w:color="auto"/>
        <w:left w:val="none" w:sz="0" w:space="0" w:color="auto"/>
        <w:bottom w:val="none" w:sz="0" w:space="0" w:color="auto"/>
        <w:right w:val="none" w:sz="0" w:space="0" w:color="auto"/>
      </w:divBdr>
    </w:div>
    <w:div w:id="48261065">
      <w:bodyDiv w:val="1"/>
      <w:marLeft w:val="0"/>
      <w:marRight w:val="0"/>
      <w:marTop w:val="0"/>
      <w:marBottom w:val="0"/>
      <w:divBdr>
        <w:top w:val="none" w:sz="0" w:space="0" w:color="auto"/>
        <w:left w:val="none" w:sz="0" w:space="0" w:color="auto"/>
        <w:bottom w:val="none" w:sz="0" w:space="0" w:color="auto"/>
        <w:right w:val="none" w:sz="0" w:space="0" w:color="auto"/>
      </w:divBdr>
      <w:divsChild>
        <w:div w:id="1528371886">
          <w:marLeft w:val="0"/>
          <w:marRight w:val="0"/>
          <w:marTop w:val="0"/>
          <w:marBottom w:val="0"/>
          <w:divBdr>
            <w:top w:val="none" w:sz="0" w:space="0" w:color="auto"/>
            <w:left w:val="none" w:sz="0" w:space="0" w:color="auto"/>
            <w:bottom w:val="none" w:sz="0" w:space="0" w:color="auto"/>
            <w:right w:val="none" w:sz="0" w:space="0" w:color="auto"/>
          </w:divBdr>
          <w:divsChild>
            <w:div w:id="1630431709">
              <w:marLeft w:val="3225"/>
              <w:marRight w:val="0"/>
              <w:marTop w:val="0"/>
              <w:marBottom w:val="0"/>
              <w:divBdr>
                <w:top w:val="none" w:sz="0" w:space="0" w:color="auto"/>
                <w:left w:val="none" w:sz="0" w:space="0" w:color="auto"/>
                <w:bottom w:val="none" w:sz="0" w:space="0" w:color="auto"/>
                <w:right w:val="none" w:sz="0" w:space="0" w:color="auto"/>
              </w:divBdr>
              <w:divsChild>
                <w:div w:id="1082527861">
                  <w:marLeft w:val="90"/>
                  <w:marRight w:val="0"/>
                  <w:marTop w:val="0"/>
                  <w:marBottom w:val="0"/>
                  <w:divBdr>
                    <w:top w:val="single" w:sz="6" w:space="0" w:color="EEEEEE"/>
                    <w:left w:val="none" w:sz="0" w:space="0" w:color="auto"/>
                    <w:bottom w:val="none" w:sz="0" w:space="0" w:color="auto"/>
                    <w:right w:val="none" w:sz="0" w:space="0" w:color="auto"/>
                  </w:divBdr>
                  <w:divsChild>
                    <w:div w:id="1322461986">
                      <w:marLeft w:val="0"/>
                      <w:marRight w:val="0"/>
                      <w:marTop w:val="0"/>
                      <w:marBottom w:val="0"/>
                      <w:divBdr>
                        <w:top w:val="none" w:sz="0" w:space="0" w:color="auto"/>
                        <w:left w:val="none" w:sz="0" w:space="0" w:color="auto"/>
                        <w:bottom w:val="none" w:sz="0" w:space="0" w:color="auto"/>
                        <w:right w:val="none" w:sz="0" w:space="0" w:color="auto"/>
                      </w:divBdr>
                      <w:divsChild>
                        <w:div w:id="1289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1222">
      <w:bodyDiv w:val="1"/>
      <w:marLeft w:val="0"/>
      <w:marRight w:val="0"/>
      <w:marTop w:val="0"/>
      <w:marBottom w:val="0"/>
      <w:divBdr>
        <w:top w:val="none" w:sz="0" w:space="0" w:color="auto"/>
        <w:left w:val="none" w:sz="0" w:space="0" w:color="auto"/>
        <w:bottom w:val="none" w:sz="0" w:space="0" w:color="auto"/>
        <w:right w:val="none" w:sz="0" w:space="0" w:color="auto"/>
      </w:divBdr>
    </w:div>
    <w:div w:id="153182203">
      <w:bodyDiv w:val="1"/>
      <w:marLeft w:val="0"/>
      <w:marRight w:val="0"/>
      <w:marTop w:val="0"/>
      <w:marBottom w:val="0"/>
      <w:divBdr>
        <w:top w:val="none" w:sz="0" w:space="0" w:color="auto"/>
        <w:left w:val="none" w:sz="0" w:space="0" w:color="auto"/>
        <w:bottom w:val="none" w:sz="0" w:space="0" w:color="auto"/>
        <w:right w:val="none" w:sz="0" w:space="0" w:color="auto"/>
      </w:divBdr>
    </w:div>
    <w:div w:id="164320175">
      <w:bodyDiv w:val="1"/>
      <w:marLeft w:val="0"/>
      <w:marRight w:val="0"/>
      <w:marTop w:val="0"/>
      <w:marBottom w:val="0"/>
      <w:divBdr>
        <w:top w:val="none" w:sz="0" w:space="0" w:color="auto"/>
        <w:left w:val="none" w:sz="0" w:space="0" w:color="auto"/>
        <w:bottom w:val="none" w:sz="0" w:space="0" w:color="auto"/>
        <w:right w:val="none" w:sz="0" w:space="0" w:color="auto"/>
      </w:divBdr>
    </w:div>
    <w:div w:id="241572347">
      <w:bodyDiv w:val="1"/>
      <w:marLeft w:val="0"/>
      <w:marRight w:val="0"/>
      <w:marTop w:val="0"/>
      <w:marBottom w:val="0"/>
      <w:divBdr>
        <w:top w:val="none" w:sz="0" w:space="0" w:color="auto"/>
        <w:left w:val="none" w:sz="0" w:space="0" w:color="auto"/>
        <w:bottom w:val="none" w:sz="0" w:space="0" w:color="auto"/>
        <w:right w:val="none" w:sz="0" w:space="0" w:color="auto"/>
      </w:divBdr>
      <w:divsChild>
        <w:div w:id="2116896353">
          <w:marLeft w:val="0"/>
          <w:marRight w:val="0"/>
          <w:marTop w:val="0"/>
          <w:marBottom w:val="0"/>
          <w:divBdr>
            <w:top w:val="none" w:sz="0" w:space="0" w:color="auto"/>
            <w:left w:val="none" w:sz="0" w:space="0" w:color="auto"/>
            <w:bottom w:val="none" w:sz="0" w:space="0" w:color="auto"/>
            <w:right w:val="none" w:sz="0" w:space="0" w:color="auto"/>
          </w:divBdr>
          <w:divsChild>
            <w:div w:id="1379472352">
              <w:marLeft w:val="3225"/>
              <w:marRight w:val="0"/>
              <w:marTop w:val="0"/>
              <w:marBottom w:val="0"/>
              <w:divBdr>
                <w:top w:val="none" w:sz="0" w:space="0" w:color="auto"/>
                <w:left w:val="none" w:sz="0" w:space="0" w:color="auto"/>
                <w:bottom w:val="none" w:sz="0" w:space="0" w:color="auto"/>
                <w:right w:val="none" w:sz="0" w:space="0" w:color="auto"/>
              </w:divBdr>
              <w:divsChild>
                <w:div w:id="249314033">
                  <w:marLeft w:val="90"/>
                  <w:marRight w:val="0"/>
                  <w:marTop w:val="0"/>
                  <w:marBottom w:val="0"/>
                  <w:divBdr>
                    <w:top w:val="single" w:sz="6" w:space="0" w:color="EEEEEE"/>
                    <w:left w:val="none" w:sz="0" w:space="0" w:color="auto"/>
                    <w:bottom w:val="none" w:sz="0" w:space="0" w:color="auto"/>
                    <w:right w:val="none" w:sz="0" w:space="0" w:color="auto"/>
                  </w:divBdr>
                  <w:divsChild>
                    <w:div w:id="1046415417">
                      <w:marLeft w:val="0"/>
                      <w:marRight w:val="0"/>
                      <w:marTop w:val="0"/>
                      <w:marBottom w:val="0"/>
                      <w:divBdr>
                        <w:top w:val="none" w:sz="0" w:space="0" w:color="auto"/>
                        <w:left w:val="none" w:sz="0" w:space="0" w:color="auto"/>
                        <w:bottom w:val="none" w:sz="0" w:space="0" w:color="auto"/>
                        <w:right w:val="none" w:sz="0" w:space="0" w:color="auto"/>
                      </w:divBdr>
                      <w:divsChild>
                        <w:div w:id="401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88285">
      <w:bodyDiv w:val="1"/>
      <w:marLeft w:val="0"/>
      <w:marRight w:val="0"/>
      <w:marTop w:val="0"/>
      <w:marBottom w:val="0"/>
      <w:divBdr>
        <w:top w:val="none" w:sz="0" w:space="0" w:color="auto"/>
        <w:left w:val="none" w:sz="0" w:space="0" w:color="auto"/>
        <w:bottom w:val="none" w:sz="0" w:space="0" w:color="auto"/>
        <w:right w:val="none" w:sz="0" w:space="0" w:color="auto"/>
      </w:divBdr>
      <w:divsChild>
        <w:div w:id="2059864428">
          <w:marLeft w:val="0"/>
          <w:marRight w:val="0"/>
          <w:marTop w:val="0"/>
          <w:marBottom w:val="0"/>
          <w:divBdr>
            <w:top w:val="none" w:sz="0" w:space="0" w:color="auto"/>
            <w:left w:val="none" w:sz="0" w:space="0" w:color="auto"/>
            <w:bottom w:val="none" w:sz="0" w:space="0" w:color="auto"/>
            <w:right w:val="none" w:sz="0" w:space="0" w:color="auto"/>
          </w:divBdr>
          <w:divsChild>
            <w:div w:id="1841963270">
              <w:marLeft w:val="3225"/>
              <w:marRight w:val="0"/>
              <w:marTop w:val="0"/>
              <w:marBottom w:val="0"/>
              <w:divBdr>
                <w:top w:val="none" w:sz="0" w:space="0" w:color="auto"/>
                <w:left w:val="none" w:sz="0" w:space="0" w:color="auto"/>
                <w:bottom w:val="none" w:sz="0" w:space="0" w:color="auto"/>
                <w:right w:val="none" w:sz="0" w:space="0" w:color="auto"/>
              </w:divBdr>
              <w:divsChild>
                <w:div w:id="2051873960">
                  <w:marLeft w:val="90"/>
                  <w:marRight w:val="0"/>
                  <w:marTop w:val="0"/>
                  <w:marBottom w:val="0"/>
                  <w:divBdr>
                    <w:top w:val="single" w:sz="6" w:space="0" w:color="EEEEEE"/>
                    <w:left w:val="none" w:sz="0" w:space="0" w:color="auto"/>
                    <w:bottom w:val="none" w:sz="0" w:space="0" w:color="auto"/>
                    <w:right w:val="none" w:sz="0" w:space="0" w:color="auto"/>
                  </w:divBdr>
                  <w:divsChild>
                    <w:div w:id="1710762630">
                      <w:marLeft w:val="0"/>
                      <w:marRight w:val="0"/>
                      <w:marTop w:val="0"/>
                      <w:marBottom w:val="0"/>
                      <w:divBdr>
                        <w:top w:val="none" w:sz="0" w:space="0" w:color="auto"/>
                        <w:left w:val="none" w:sz="0" w:space="0" w:color="auto"/>
                        <w:bottom w:val="none" w:sz="0" w:space="0" w:color="auto"/>
                        <w:right w:val="none" w:sz="0" w:space="0" w:color="auto"/>
                      </w:divBdr>
                      <w:divsChild>
                        <w:div w:id="20472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680302">
      <w:bodyDiv w:val="1"/>
      <w:marLeft w:val="0"/>
      <w:marRight w:val="0"/>
      <w:marTop w:val="0"/>
      <w:marBottom w:val="0"/>
      <w:divBdr>
        <w:top w:val="none" w:sz="0" w:space="0" w:color="auto"/>
        <w:left w:val="none" w:sz="0" w:space="0" w:color="auto"/>
        <w:bottom w:val="none" w:sz="0" w:space="0" w:color="auto"/>
        <w:right w:val="none" w:sz="0" w:space="0" w:color="auto"/>
      </w:divBdr>
      <w:divsChild>
        <w:div w:id="300962739">
          <w:marLeft w:val="3"/>
          <w:marRight w:val="3"/>
          <w:marTop w:val="0"/>
          <w:marBottom w:val="0"/>
          <w:divBdr>
            <w:top w:val="single" w:sz="6" w:space="0" w:color="112449"/>
            <w:left w:val="single" w:sz="6" w:space="0" w:color="112449"/>
            <w:bottom w:val="single" w:sz="6" w:space="0" w:color="112449"/>
            <w:right w:val="single" w:sz="6" w:space="0" w:color="112449"/>
          </w:divBdr>
          <w:divsChild>
            <w:div w:id="1917934389">
              <w:marLeft w:val="3"/>
              <w:marRight w:val="3"/>
              <w:marTop w:val="0"/>
              <w:marBottom w:val="0"/>
              <w:divBdr>
                <w:top w:val="single" w:sz="6" w:space="0" w:color="112449"/>
                <w:left w:val="single" w:sz="6" w:space="0" w:color="112449"/>
                <w:bottom w:val="single" w:sz="6" w:space="0" w:color="112449"/>
                <w:right w:val="single" w:sz="6" w:space="0" w:color="112449"/>
              </w:divBdr>
              <w:divsChild>
                <w:div w:id="9638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8824">
      <w:bodyDiv w:val="1"/>
      <w:marLeft w:val="0"/>
      <w:marRight w:val="0"/>
      <w:marTop w:val="0"/>
      <w:marBottom w:val="0"/>
      <w:divBdr>
        <w:top w:val="none" w:sz="0" w:space="0" w:color="auto"/>
        <w:left w:val="none" w:sz="0" w:space="0" w:color="auto"/>
        <w:bottom w:val="none" w:sz="0" w:space="0" w:color="auto"/>
        <w:right w:val="none" w:sz="0" w:space="0" w:color="auto"/>
      </w:divBdr>
    </w:div>
    <w:div w:id="513343782">
      <w:bodyDiv w:val="1"/>
      <w:marLeft w:val="0"/>
      <w:marRight w:val="0"/>
      <w:marTop w:val="0"/>
      <w:marBottom w:val="0"/>
      <w:divBdr>
        <w:top w:val="none" w:sz="0" w:space="0" w:color="auto"/>
        <w:left w:val="none" w:sz="0" w:space="0" w:color="auto"/>
        <w:bottom w:val="none" w:sz="0" w:space="0" w:color="auto"/>
        <w:right w:val="none" w:sz="0" w:space="0" w:color="auto"/>
      </w:divBdr>
      <w:divsChild>
        <w:div w:id="225259911">
          <w:marLeft w:val="3"/>
          <w:marRight w:val="3"/>
          <w:marTop w:val="0"/>
          <w:marBottom w:val="0"/>
          <w:divBdr>
            <w:top w:val="single" w:sz="6" w:space="0" w:color="112449"/>
            <w:left w:val="single" w:sz="6" w:space="0" w:color="112449"/>
            <w:bottom w:val="single" w:sz="6" w:space="0" w:color="112449"/>
            <w:right w:val="single" w:sz="6" w:space="0" w:color="112449"/>
          </w:divBdr>
          <w:divsChild>
            <w:div w:id="1881435234">
              <w:marLeft w:val="3"/>
              <w:marRight w:val="3"/>
              <w:marTop w:val="0"/>
              <w:marBottom w:val="0"/>
              <w:divBdr>
                <w:top w:val="single" w:sz="6" w:space="0" w:color="112449"/>
                <w:left w:val="single" w:sz="6" w:space="0" w:color="112449"/>
                <w:bottom w:val="single" w:sz="6" w:space="0" w:color="112449"/>
                <w:right w:val="single" w:sz="6" w:space="0" w:color="112449"/>
              </w:divBdr>
              <w:divsChild>
                <w:div w:id="18468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12512">
      <w:bodyDiv w:val="1"/>
      <w:marLeft w:val="0"/>
      <w:marRight w:val="0"/>
      <w:marTop w:val="0"/>
      <w:marBottom w:val="0"/>
      <w:divBdr>
        <w:top w:val="none" w:sz="0" w:space="0" w:color="auto"/>
        <w:left w:val="none" w:sz="0" w:space="0" w:color="auto"/>
        <w:bottom w:val="none" w:sz="0" w:space="0" w:color="auto"/>
        <w:right w:val="none" w:sz="0" w:space="0" w:color="auto"/>
      </w:divBdr>
      <w:divsChild>
        <w:div w:id="1396054129">
          <w:marLeft w:val="2550"/>
          <w:marRight w:val="0"/>
          <w:marTop w:val="0"/>
          <w:marBottom w:val="0"/>
          <w:divBdr>
            <w:top w:val="none" w:sz="0" w:space="0" w:color="auto"/>
            <w:left w:val="none" w:sz="0" w:space="0" w:color="auto"/>
            <w:bottom w:val="none" w:sz="0" w:space="0" w:color="auto"/>
            <w:right w:val="none" w:sz="0" w:space="0" w:color="auto"/>
          </w:divBdr>
        </w:div>
      </w:divsChild>
    </w:div>
    <w:div w:id="598874991">
      <w:bodyDiv w:val="1"/>
      <w:marLeft w:val="0"/>
      <w:marRight w:val="0"/>
      <w:marTop w:val="0"/>
      <w:marBottom w:val="0"/>
      <w:divBdr>
        <w:top w:val="none" w:sz="0" w:space="0" w:color="auto"/>
        <w:left w:val="none" w:sz="0" w:space="0" w:color="auto"/>
        <w:bottom w:val="none" w:sz="0" w:space="0" w:color="auto"/>
        <w:right w:val="none" w:sz="0" w:space="0" w:color="auto"/>
      </w:divBdr>
      <w:divsChild>
        <w:div w:id="1286160556">
          <w:marLeft w:val="0"/>
          <w:marRight w:val="0"/>
          <w:marTop w:val="0"/>
          <w:marBottom w:val="0"/>
          <w:divBdr>
            <w:top w:val="none" w:sz="0" w:space="0" w:color="auto"/>
            <w:left w:val="none" w:sz="0" w:space="0" w:color="auto"/>
            <w:bottom w:val="none" w:sz="0" w:space="0" w:color="auto"/>
            <w:right w:val="none" w:sz="0" w:space="0" w:color="auto"/>
          </w:divBdr>
          <w:divsChild>
            <w:div w:id="1865052667">
              <w:marLeft w:val="3225"/>
              <w:marRight w:val="0"/>
              <w:marTop w:val="0"/>
              <w:marBottom w:val="0"/>
              <w:divBdr>
                <w:top w:val="none" w:sz="0" w:space="0" w:color="auto"/>
                <w:left w:val="none" w:sz="0" w:space="0" w:color="auto"/>
                <w:bottom w:val="none" w:sz="0" w:space="0" w:color="auto"/>
                <w:right w:val="none" w:sz="0" w:space="0" w:color="auto"/>
              </w:divBdr>
              <w:divsChild>
                <w:div w:id="2103451469">
                  <w:marLeft w:val="90"/>
                  <w:marRight w:val="0"/>
                  <w:marTop w:val="0"/>
                  <w:marBottom w:val="0"/>
                  <w:divBdr>
                    <w:top w:val="single" w:sz="6" w:space="0" w:color="EEEEEE"/>
                    <w:left w:val="none" w:sz="0" w:space="0" w:color="auto"/>
                    <w:bottom w:val="none" w:sz="0" w:space="0" w:color="auto"/>
                    <w:right w:val="none" w:sz="0" w:space="0" w:color="auto"/>
                  </w:divBdr>
                  <w:divsChild>
                    <w:div w:id="1699507614">
                      <w:marLeft w:val="0"/>
                      <w:marRight w:val="0"/>
                      <w:marTop w:val="0"/>
                      <w:marBottom w:val="0"/>
                      <w:divBdr>
                        <w:top w:val="none" w:sz="0" w:space="0" w:color="auto"/>
                        <w:left w:val="none" w:sz="0" w:space="0" w:color="auto"/>
                        <w:bottom w:val="none" w:sz="0" w:space="0" w:color="auto"/>
                        <w:right w:val="none" w:sz="0" w:space="0" w:color="auto"/>
                      </w:divBdr>
                      <w:divsChild>
                        <w:div w:id="8754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745995">
      <w:bodyDiv w:val="1"/>
      <w:marLeft w:val="0"/>
      <w:marRight w:val="0"/>
      <w:marTop w:val="0"/>
      <w:marBottom w:val="0"/>
      <w:divBdr>
        <w:top w:val="none" w:sz="0" w:space="0" w:color="auto"/>
        <w:left w:val="none" w:sz="0" w:space="0" w:color="auto"/>
        <w:bottom w:val="none" w:sz="0" w:space="0" w:color="auto"/>
        <w:right w:val="none" w:sz="0" w:space="0" w:color="auto"/>
      </w:divBdr>
      <w:divsChild>
        <w:div w:id="1820809106">
          <w:marLeft w:val="0"/>
          <w:marRight w:val="0"/>
          <w:marTop w:val="0"/>
          <w:marBottom w:val="0"/>
          <w:divBdr>
            <w:top w:val="none" w:sz="0" w:space="0" w:color="auto"/>
            <w:left w:val="none" w:sz="0" w:space="0" w:color="auto"/>
            <w:bottom w:val="none" w:sz="0" w:space="0" w:color="auto"/>
            <w:right w:val="none" w:sz="0" w:space="0" w:color="auto"/>
          </w:divBdr>
          <w:divsChild>
            <w:div w:id="1435322983">
              <w:marLeft w:val="3225"/>
              <w:marRight w:val="0"/>
              <w:marTop w:val="0"/>
              <w:marBottom w:val="0"/>
              <w:divBdr>
                <w:top w:val="none" w:sz="0" w:space="0" w:color="auto"/>
                <w:left w:val="none" w:sz="0" w:space="0" w:color="auto"/>
                <w:bottom w:val="none" w:sz="0" w:space="0" w:color="auto"/>
                <w:right w:val="none" w:sz="0" w:space="0" w:color="auto"/>
              </w:divBdr>
              <w:divsChild>
                <w:div w:id="1277519554">
                  <w:marLeft w:val="90"/>
                  <w:marRight w:val="0"/>
                  <w:marTop w:val="0"/>
                  <w:marBottom w:val="0"/>
                  <w:divBdr>
                    <w:top w:val="single" w:sz="6" w:space="0" w:color="EEEEEE"/>
                    <w:left w:val="none" w:sz="0" w:space="0" w:color="auto"/>
                    <w:bottom w:val="none" w:sz="0" w:space="0" w:color="auto"/>
                    <w:right w:val="none" w:sz="0" w:space="0" w:color="auto"/>
                  </w:divBdr>
                  <w:divsChild>
                    <w:div w:id="887642390">
                      <w:marLeft w:val="0"/>
                      <w:marRight w:val="0"/>
                      <w:marTop w:val="0"/>
                      <w:marBottom w:val="0"/>
                      <w:divBdr>
                        <w:top w:val="none" w:sz="0" w:space="0" w:color="auto"/>
                        <w:left w:val="none" w:sz="0" w:space="0" w:color="auto"/>
                        <w:bottom w:val="none" w:sz="0" w:space="0" w:color="auto"/>
                        <w:right w:val="none" w:sz="0" w:space="0" w:color="auto"/>
                      </w:divBdr>
                      <w:divsChild>
                        <w:div w:id="21318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652125">
      <w:bodyDiv w:val="1"/>
      <w:marLeft w:val="0"/>
      <w:marRight w:val="0"/>
      <w:marTop w:val="0"/>
      <w:marBottom w:val="0"/>
      <w:divBdr>
        <w:top w:val="none" w:sz="0" w:space="0" w:color="auto"/>
        <w:left w:val="none" w:sz="0" w:space="0" w:color="auto"/>
        <w:bottom w:val="none" w:sz="0" w:space="0" w:color="auto"/>
        <w:right w:val="none" w:sz="0" w:space="0" w:color="auto"/>
      </w:divBdr>
    </w:div>
    <w:div w:id="701828611">
      <w:bodyDiv w:val="1"/>
      <w:marLeft w:val="0"/>
      <w:marRight w:val="0"/>
      <w:marTop w:val="0"/>
      <w:marBottom w:val="0"/>
      <w:divBdr>
        <w:top w:val="none" w:sz="0" w:space="0" w:color="auto"/>
        <w:left w:val="none" w:sz="0" w:space="0" w:color="auto"/>
        <w:bottom w:val="none" w:sz="0" w:space="0" w:color="auto"/>
        <w:right w:val="none" w:sz="0" w:space="0" w:color="auto"/>
      </w:divBdr>
      <w:divsChild>
        <w:div w:id="654990066">
          <w:marLeft w:val="0"/>
          <w:marRight w:val="0"/>
          <w:marTop w:val="0"/>
          <w:marBottom w:val="0"/>
          <w:divBdr>
            <w:top w:val="none" w:sz="0" w:space="0" w:color="auto"/>
            <w:left w:val="none" w:sz="0" w:space="0" w:color="auto"/>
            <w:bottom w:val="none" w:sz="0" w:space="0" w:color="auto"/>
            <w:right w:val="none" w:sz="0" w:space="0" w:color="auto"/>
          </w:divBdr>
          <w:divsChild>
            <w:div w:id="1131749779">
              <w:marLeft w:val="3225"/>
              <w:marRight w:val="0"/>
              <w:marTop w:val="0"/>
              <w:marBottom w:val="0"/>
              <w:divBdr>
                <w:top w:val="none" w:sz="0" w:space="0" w:color="auto"/>
                <w:left w:val="none" w:sz="0" w:space="0" w:color="auto"/>
                <w:bottom w:val="none" w:sz="0" w:space="0" w:color="auto"/>
                <w:right w:val="none" w:sz="0" w:space="0" w:color="auto"/>
              </w:divBdr>
              <w:divsChild>
                <w:div w:id="1158769336">
                  <w:marLeft w:val="90"/>
                  <w:marRight w:val="0"/>
                  <w:marTop w:val="0"/>
                  <w:marBottom w:val="0"/>
                  <w:divBdr>
                    <w:top w:val="single" w:sz="6" w:space="0" w:color="EEEEEE"/>
                    <w:left w:val="none" w:sz="0" w:space="0" w:color="auto"/>
                    <w:bottom w:val="none" w:sz="0" w:space="0" w:color="auto"/>
                    <w:right w:val="none" w:sz="0" w:space="0" w:color="auto"/>
                  </w:divBdr>
                  <w:divsChild>
                    <w:div w:id="155342105">
                      <w:marLeft w:val="0"/>
                      <w:marRight w:val="0"/>
                      <w:marTop w:val="0"/>
                      <w:marBottom w:val="0"/>
                      <w:divBdr>
                        <w:top w:val="none" w:sz="0" w:space="0" w:color="auto"/>
                        <w:left w:val="none" w:sz="0" w:space="0" w:color="auto"/>
                        <w:bottom w:val="none" w:sz="0" w:space="0" w:color="auto"/>
                        <w:right w:val="none" w:sz="0" w:space="0" w:color="auto"/>
                      </w:divBdr>
                      <w:divsChild>
                        <w:div w:id="928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4906">
      <w:bodyDiv w:val="1"/>
      <w:marLeft w:val="0"/>
      <w:marRight w:val="0"/>
      <w:marTop w:val="0"/>
      <w:marBottom w:val="0"/>
      <w:divBdr>
        <w:top w:val="none" w:sz="0" w:space="0" w:color="auto"/>
        <w:left w:val="none" w:sz="0" w:space="0" w:color="auto"/>
        <w:bottom w:val="none" w:sz="0" w:space="0" w:color="auto"/>
        <w:right w:val="none" w:sz="0" w:space="0" w:color="auto"/>
      </w:divBdr>
    </w:div>
    <w:div w:id="745762340">
      <w:bodyDiv w:val="1"/>
      <w:marLeft w:val="0"/>
      <w:marRight w:val="0"/>
      <w:marTop w:val="0"/>
      <w:marBottom w:val="0"/>
      <w:divBdr>
        <w:top w:val="none" w:sz="0" w:space="0" w:color="auto"/>
        <w:left w:val="none" w:sz="0" w:space="0" w:color="auto"/>
        <w:bottom w:val="none" w:sz="0" w:space="0" w:color="auto"/>
        <w:right w:val="none" w:sz="0" w:space="0" w:color="auto"/>
      </w:divBdr>
      <w:divsChild>
        <w:div w:id="1720863520">
          <w:marLeft w:val="0"/>
          <w:marRight w:val="0"/>
          <w:marTop w:val="0"/>
          <w:marBottom w:val="0"/>
          <w:divBdr>
            <w:top w:val="none" w:sz="0" w:space="0" w:color="auto"/>
            <w:left w:val="none" w:sz="0" w:space="0" w:color="auto"/>
            <w:bottom w:val="none" w:sz="0" w:space="0" w:color="auto"/>
            <w:right w:val="none" w:sz="0" w:space="0" w:color="auto"/>
          </w:divBdr>
          <w:divsChild>
            <w:div w:id="1754081065">
              <w:marLeft w:val="3225"/>
              <w:marRight w:val="0"/>
              <w:marTop w:val="0"/>
              <w:marBottom w:val="0"/>
              <w:divBdr>
                <w:top w:val="none" w:sz="0" w:space="0" w:color="auto"/>
                <w:left w:val="none" w:sz="0" w:space="0" w:color="auto"/>
                <w:bottom w:val="none" w:sz="0" w:space="0" w:color="auto"/>
                <w:right w:val="none" w:sz="0" w:space="0" w:color="auto"/>
              </w:divBdr>
              <w:divsChild>
                <w:div w:id="1403288834">
                  <w:marLeft w:val="90"/>
                  <w:marRight w:val="0"/>
                  <w:marTop w:val="0"/>
                  <w:marBottom w:val="0"/>
                  <w:divBdr>
                    <w:top w:val="single" w:sz="6" w:space="0" w:color="EEEEEE"/>
                    <w:left w:val="none" w:sz="0" w:space="0" w:color="auto"/>
                    <w:bottom w:val="none" w:sz="0" w:space="0" w:color="auto"/>
                    <w:right w:val="none" w:sz="0" w:space="0" w:color="auto"/>
                  </w:divBdr>
                  <w:divsChild>
                    <w:div w:id="2086148854">
                      <w:marLeft w:val="0"/>
                      <w:marRight w:val="0"/>
                      <w:marTop w:val="0"/>
                      <w:marBottom w:val="0"/>
                      <w:divBdr>
                        <w:top w:val="none" w:sz="0" w:space="0" w:color="auto"/>
                        <w:left w:val="none" w:sz="0" w:space="0" w:color="auto"/>
                        <w:bottom w:val="none" w:sz="0" w:space="0" w:color="auto"/>
                        <w:right w:val="none" w:sz="0" w:space="0" w:color="auto"/>
                      </w:divBdr>
                      <w:divsChild>
                        <w:div w:id="3242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915071">
      <w:bodyDiv w:val="1"/>
      <w:marLeft w:val="0"/>
      <w:marRight w:val="0"/>
      <w:marTop w:val="0"/>
      <w:marBottom w:val="0"/>
      <w:divBdr>
        <w:top w:val="none" w:sz="0" w:space="0" w:color="auto"/>
        <w:left w:val="none" w:sz="0" w:space="0" w:color="auto"/>
        <w:bottom w:val="none" w:sz="0" w:space="0" w:color="auto"/>
        <w:right w:val="none" w:sz="0" w:space="0" w:color="auto"/>
      </w:divBdr>
    </w:div>
    <w:div w:id="986713493">
      <w:bodyDiv w:val="1"/>
      <w:marLeft w:val="0"/>
      <w:marRight w:val="0"/>
      <w:marTop w:val="0"/>
      <w:marBottom w:val="0"/>
      <w:divBdr>
        <w:top w:val="none" w:sz="0" w:space="0" w:color="auto"/>
        <w:left w:val="none" w:sz="0" w:space="0" w:color="auto"/>
        <w:bottom w:val="none" w:sz="0" w:space="0" w:color="auto"/>
        <w:right w:val="none" w:sz="0" w:space="0" w:color="auto"/>
      </w:divBdr>
      <w:divsChild>
        <w:div w:id="455099738">
          <w:marLeft w:val="2550"/>
          <w:marRight w:val="0"/>
          <w:marTop w:val="0"/>
          <w:marBottom w:val="0"/>
          <w:divBdr>
            <w:top w:val="none" w:sz="0" w:space="0" w:color="auto"/>
            <w:left w:val="none" w:sz="0" w:space="0" w:color="auto"/>
            <w:bottom w:val="none" w:sz="0" w:space="0" w:color="auto"/>
            <w:right w:val="none" w:sz="0" w:space="0" w:color="auto"/>
          </w:divBdr>
        </w:div>
      </w:divsChild>
    </w:div>
    <w:div w:id="991522435">
      <w:bodyDiv w:val="1"/>
      <w:marLeft w:val="0"/>
      <w:marRight w:val="0"/>
      <w:marTop w:val="0"/>
      <w:marBottom w:val="0"/>
      <w:divBdr>
        <w:top w:val="none" w:sz="0" w:space="0" w:color="auto"/>
        <w:left w:val="none" w:sz="0" w:space="0" w:color="auto"/>
        <w:bottom w:val="none" w:sz="0" w:space="0" w:color="auto"/>
        <w:right w:val="none" w:sz="0" w:space="0" w:color="auto"/>
      </w:divBdr>
      <w:divsChild>
        <w:div w:id="197744214">
          <w:marLeft w:val="2550"/>
          <w:marRight w:val="0"/>
          <w:marTop w:val="0"/>
          <w:marBottom w:val="0"/>
          <w:divBdr>
            <w:top w:val="none" w:sz="0" w:space="0" w:color="auto"/>
            <w:left w:val="none" w:sz="0" w:space="0" w:color="auto"/>
            <w:bottom w:val="none" w:sz="0" w:space="0" w:color="auto"/>
            <w:right w:val="none" w:sz="0" w:space="0" w:color="auto"/>
          </w:divBdr>
        </w:div>
      </w:divsChild>
    </w:div>
    <w:div w:id="1104881747">
      <w:bodyDiv w:val="1"/>
      <w:marLeft w:val="0"/>
      <w:marRight w:val="0"/>
      <w:marTop w:val="0"/>
      <w:marBottom w:val="0"/>
      <w:divBdr>
        <w:top w:val="none" w:sz="0" w:space="0" w:color="auto"/>
        <w:left w:val="none" w:sz="0" w:space="0" w:color="auto"/>
        <w:bottom w:val="none" w:sz="0" w:space="0" w:color="auto"/>
        <w:right w:val="none" w:sz="0" w:space="0" w:color="auto"/>
      </w:divBdr>
    </w:div>
    <w:div w:id="1208419063">
      <w:bodyDiv w:val="1"/>
      <w:marLeft w:val="0"/>
      <w:marRight w:val="0"/>
      <w:marTop w:val="0"/>
      <w:marBottom w:val="0"/>
      <w:divBdr>
        <w:top w:val="none" w:sz="0" w:space="0" w:color="auto"/>
        <w:left w:val="none" w:sz="0" w:space="0" w:color="auto"/>
        <w:bottom w:val="none" w:sz="0" w:space="0" w:color="auto"/>
        <w:right w:val="none" w:sz="0" w:space="0" w:color="auto"/>
      </w:divBdr>
    </w:div>
    <w:div w:id="1225213662">
      <w:bodyDiv w:val="1"/>
      <w:marLeft w:val="0"/>
      <w:marRight w:val="0"/>
      <w:marTop w:val="0"/>
      <w:marBottom w:val="0"/>
      <w:divBdr>
        <w:top w:val="none" w:sz="0" w:space="0" w:color="auto"/>
        <w:left w:val="none" w:sz="0" w:space="0" w:color="auto"/>
        <w:bottom w:val="none" w:sz="0" w:space="0" w:color="auto"/>
        <w:right w:val="none" w:sz="0" w:space="0" w:color="auto"/>
      </w:divBdr>
    </w:div>
    <w:div w:id="1435442988">
      <w:bodyDiv w:val="1"/>
      <w:marLeft w:val="0"/>
      <w:marRight w:val="0"/>
      <w:marTop w:val="0"/>
      <w:marBottom w:val="0"/>
      <w:divBdr>
        <w:top w:val="none" w:sz="0" w:space="0" w:color="auto"/>
        <w:left w:val="none" w:sz="0" w:space="0" w:color="auto"/>
        <w:bottom w:val="none" w:sz="0" w:space="0" w:color="auto"/>
        <w:right w:val="none" w:sz="0" w:space="0" w:color="auto"/>
      </w:divBdr>
    </w:div>
    <w:div w:id="1491285275">
      <w:bodyDiv w:val="1"/>
      <w:marLeft w:val="0"/>
      <w:marRight w:val="0"/>
      <w:marTop w:val="0"/>
      <w:marBottom w:val="0"/>
      <w:divBdr>
        <w:top w:val="none" w:sz="0" w:space="0" w:color="auto"/>
        <w:left w:val="none" w:sz="0" w:space="0" w:color="auto"/>
        <w:bottom w:val="none" w:sz="0" w:space="0" w:color="auto"/>
        <w:right w:val="none" w:sz="0" w:space="0" w:color="auto"/>
      </w:divBdr>
      <w:divsChild>
        <w:div w:id="394547951">
          <w:marLeft w:val="0"/>
          <w:marRight w:val="0"/>
          <w:marTop w:val="0"/>
          <w:marBottom w:val="0"/>
          <w:divBdr>
            <w:top w:val="none" w:sz="0" w:space="0" w:color="auto"/>
            <w:left w:val="none" w:sz="0" w:space="0" w:color="auto"/>
            <w:bottom w:val="none" w:sz="0" w:space="0" w:color="auto"/>
            <w:right w:val="none" w:sz="0" w:space="0" w:color="auto"/>
          </w:divBdr>
        </w:div>
        <w:div w:id="904530647">
          <w:marLeft w:val="0"/>
          <w:marRight w:val="0"/>
          <w:marTop w:val="0"/>
          <w:marBottom w:val="0"/>
          <w:divBdr>
            <w:top w:val="none" w:sz="0" w:space="0" w:color="auto"/>
            <w:left w:val="none" w:sz="0" w:space="0" w:color="auto"/>
            <w:bottom w:val="none" w:sz="0" w:space="0" w:color="auto"/>
            <w:right w:val="none" w:sz="0" w:space="0" w:color="auto"/>
          </w:divBdr>
        </w:div>
        <w:div w:id="1133863551">
          <w:marLeft w:val="0"/>
          <w:marRight w:val="0"/>
          <w:marTop w:val="0"/>
          <w:marBottom w:val="0"/>
          <w:divBdr>
            <w:top w:val="none" w:sz="0" w:space="0" w:color="auto"/>
            <w:left w:val="none" w:sz="0" w:space="0" w:color="auto"/>
            <w:bottom w:val="none" w:sz="0" w:space="0" w:color="auto"/>
            <w:right w:val="none" w:sz="0" w:space="0" w:color="auto"/>
          </w:divBdr>
        </w:div>
        <w:div w:id="1394160011">
          <w:marLeft w:val="0"/>
          <w:marRight w:val="0"/>
          <w:marTop w:val="0"/>
          <w:marBottom w:val="0"/>
          <w:divBdr>
            <w:top w:val="none" w:sz="0" w:space="0" w:color="auto"/>
            <w:left w:val="none" w:sz="0" w:space="0" w:color="auto"/>
            <w:bottom w:val="none" w:sz="0" w:space="0" w:color="auto"/>
            <w:right w:val="none" w:sz="0" w:space="0" w:color="auto"/>
          </w:divBdr>
        </w:div>
      </w:divsChild>
    </w:div>
    <w:div w:id="1491363566">
      <w:bodyDiv w:val="1"/>
      <w:marLeft w:val="0"/>
      <w:marRight w:val="0"/>
      <w:marTop w:val="0"/>
      <w:marBottom w:val="0"/>
      <w:divBdr>
        <w:top w:val="none" w:sz="0" w:space="0" w:color="auto"/>
        <w:left w:val="none" w:sz="0" w:space="0" w:color="auto"/>
        <w:bottom w:val="none" w:sz="0" w:space="0" w:color="auto"/>
        <w:right w:val="none" w:sz="0" w:space="0" w:color="auto"/>
      </w:divBdr>
      <w:divsChild>
        <w:div w:id="716589964">
          <w:marLeft w:val="0"/>
          <w:marRight w:val="0"/>
          <w:marTop w:val="0"/>
          <w:marBottom w:val="0"/>
          <w:divBdr>
            <w:top w:val="none" w:sz="0" w:space="0" w:color="auto"/>
            <w:left w:val="none" w:sz="0" w:space="0" w:color="auto"/>
            <w:bottom w:val="none" w:sz="0" w:space="0" w:color="auto"/>
            <w:right w:val="none" w:sz="0" w:space="0" w:color="auto"/>
          </w:divBdr>
          <w:divsChild>
            <w:div w:id="538779017">
              <w:marLeft w:val="3225"/>
              <w:marRight w:val="0"/>
              <w:marTop w:val="0"/>
              <w:marBottom w:val="0"/>
              <w:divBdr>
                <w:top w:val="none" w:sz="0" w:space="0" w:color="auto"/>
                <w:left w:val="none" w:sz="0" w:space="0" w:color="auto"/>
                <w:bottom w:val="none" w:sz="0" w:space="0" w:color="auto"/>
                <w:right w:val="none" w:sz="0" w:space="0" w:color="auto"/>
              </w:divBdr>
              <w:divsChild>
                <w:div w:id="882474210">
                  <w:marLeft w:val="90"/>
                  <w:marRight w:val="0"/>
                  <w:marTop w:val="0"/>
                  <w:marBottom w:val="0"/>
                  <w:divBdr>
                    <w:top w:val="single" w:sz="6" w:space="0" w:color="EEEEEE"/>
                    <w:left w:val="none" w:sz="0" w:space="0" w:color="auto"/>
                    <w:bottom w:val="none" w:sz="0" w:space="0" w:color="auto"/>
                    <w:right w:val="none" w:sz="0" w:space="0" w:color="auto"/>
                  </w:divBdr>
                  <w:divsChild>
                    <w:div w:id="93482243">
                      <w:marLeft w:val="0"/>
                      <w:marRight w:val="0"/>
                      <w:marTop w:val="0"/>
                      <w:marBottom w:val="0"/>
                      <w:divBdr>
                        <w:top w:val="none" w:sz="0" w:space="0" w:color="auto"/>
                        <w:left w:val="none" w:sz="0" w:space="0" w:color="auto"/>
                        <w:bottom w:val="none" w:sz="0" w:space="0" w:color="auto"/>
                        <w:right w:val="none" w:sz="0" w:space="0" w:color="auto"/>
                      </w:divBdr>
                      <w:divsChild>
                        <w:div w:id="14151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278399">
      <w:bodyDiv w:val="1"/>
      <w:marLeft w:val="0"/>
      <w:marRight w:val="0"/>
      <w:marTop w:val="0"/>
      <w:marBottom w:val="0"/>
      <w:divBdr>
        <w:top w:val="none" w:sz="0" w:space="0" w:color="auto"/>
        <w:left w:val="none" w:sz="0" w:space="0" w:color="auto"/>
        <w:bottom w:val="none" w:sz="0" w:space="0" w:color="auto"/>
        <w:right w:val="none" w:sz="0" w:space="0" w:color="auto"/>
      </w:divBdr>
      <w:divsChild>
        <w:div w:id="1364745805">
          <w:marLeft w:val="0"/>
          <w:marRight w:val="0"/>
          <w:marTop w:val="0"/>
          <w:marBottom w:val="0"/>
          <w:divBdr>
            <w:top w:val="none" w:sz="0" w:space="0" w:color="auto"/>
            <w:left w:val="none" w:sz="0" w:space="0" w:color="auto"/>
            <w:bottom w:val="none" w:sz="0" w:space="0" w:color="auto"/>
            <w:right w:val="none" w:sz="0" w:space="0" w:color="auto"/>
          </w:divBdr>
          <w:divsChild>
            <w:div w:id="716929174">
              <w:marLeft w:val="3225"/>
              <w:marRight w:val="0"/>
              <w:marTop w:val="0"/>
              <w:marBottom w:val="0"/>
              <w:divBdr>
                <w:top w:val="none" w:sz="0" w:space="0" w:color="auto"/>
                <w:left w:val="none" w:sz="0" w:space="0" w:color="auto"/>
                <w:bottom w:val="none" w:sz="0" w:space="0" w:color="auto"/>
                <w:right w:val="none" w:sz="0" w:space="0" w:color="auto"/>
              </w:divBdr>
              <w:divsChild>
                <w:div w:id="542330573">
                  <w:marLeft w:val="90"/>
                  <w:marRight w:val="0"/>
                  <w:marTop w:val="0"/>
                  <w:marBottom w:val="0"/>
                  <w:divBdr>
                    <w:top w:val="single" w:sz="6" w:space="0" w:color="EEEEEE"/>
                    <w:left w:val="none" w:sz="0" w:space="0" w:color="auto"/>
                    <w:bottom w:val="none" w:sz="0" w:space="0" w:color="auto"/>
                    <w:right w:val="none" w:sz="0" w:space="0" w:color="auto"/>
                  </w:divBdr>
                  <w:divsChild>
                    <w:div w:id="1160541777">
                      <w:marLeft w:val="0"/>
                      <w:marRight w:val="0"/>
                      <w:marTop w:val="0"/>
                      <w:marBottom w:val="0"/>
                      <w:divBdr>
                        <w:top w:val="none" w:sz="0" w:space="0" w:color="auto"/>
                        <w:left w:val="none" w:sz="0" w:space="0" w:color="auto"/>
                        <w:bottom w:val="none" w:sz="0" w:space="0" w:color="auto"/>
                        <w:right w:val="none" w:sz="0" w:space="0" w:color="auto"/>
                      </w:divBdr>
                      <w:divsChild>
                        <w:div w:id="14644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964557">
      <w:bodyDiv w:val="1"/>
      <w:marLeft w:val="0"/>
      <w:marRight w:val="0"/>
      <w:marTop w:val="0"/>
      <w:marBottom w:val="0"/>
      <w:divBdr>
        <w:top w:val="none" w:sz="0" w:space="0" w:color="auto"/>
        <w:left w:val="none" w:sz="0" w:space="0" w:color="auto"/>
        <w:bottom w:val="none" w:sz="0" w:space="0" w:color="auto"/>
        <w:right w:val="none" w:sz="0" w:space="0" w:color="auto"/>
      </w:divBdr>
    </w:div>
    <w:div w:id="1751269738">
      <w:bodyDiv w:val="1"/>
      <w:marLeft w:val="0"/>
      <w:marRight w:val="0"/>
      <w:marTop w:val="0"/>
      <w:marBottom w:val="0"/>
      <w:divBdr>
        <w:top w:val="none" w:sz="0" w:space="0" w:color="auto"/>
        <w:left w:val="none" w:sz="0" w:space="0" w:color="auto"/>
        <w:bottom w:val="none" w:sz="0" w:space="0" w:color="auto"/>
        <w:right w:val="none" w:sz="0" w:space="0" w:color="auto"/>
      </w:divBdr>
    </w:div>
    <w:div w:id="1821844343">
      <w:bodyDiv w:val="1"/>
      <w:marLeft w:val="0"/>
      <w:marRight w:val="0"/>
      <w:marTop w:val="0"/>
      <w:marBottom w:val="0"/>
      <w:divBdr>
        <w:top w:val="none" w:sz="0" w:space="0" w:color="auto"/>
        <w:left w:val="none" w:sz="0" w:space="0" w:color="auto"/>
        <w:bottom w:val="none" w:sz="0" w:space="0" w:color="auto"/>
        <w:right w:val="none" w:sz="0" w:space="0" w:color="auto"/>
      </w:divBdr>
      <w:divsChild>
        <w:div w:id="2080251025">
          <w:marLeft w:val="0"/>
          <w:marRight w:val="0"/>
          <w:marTop w:val="0"/>
          <w:marBottom w:val="0"/>
          <w:divBdr>
            <w:top w:val="none" w:sz="0" w:space="0" w:color="auto"/>
            <w:left w:val="none" w:sz="0" w:space="0" w:color="auto"/>
            <w:bottom w:val="none" w:sz="0" w:space="0" w:color="auto"/>
            <w:right w:val="none" w:sz="0" w:space="0" w:color="auto"/>
          </w:divBdr>
          <w:divsChild>
            <w:div w:id="658776890">
              <w:marLeft w:val="3225"/>
              <w:marRight w:val="0"/>
              <w:marTop w:val="0"/>
              <w:marBottom w:val="0"/>
              <w:divBdr>
                <w:top w:val="none" w:sz="0" w:space="0" w:color="auto"/>
                <w:left w:val="none" w:sz="0" w:space="0" w:color="auto"/>
                <w:bottom w:val="none" w:sz="0" w:space="0" w:color="auto"/>
                <w:right w:val="none" w:sz="0" w:space="0" w:color="auto"/>
              </w:divBdr>
              <w:divsChild>
                <w:div w:id="1132021743">
                  <w:marLeft w:val="90"/>
                  <w:marRight w:val="0"/>
                  <w:marTop w:val="0"/>
                  <w:marBottom w:val="0"/>
                  <w:divBdr>
                    <w:top w:val="single" w:sz="6" w:space="0" w:color="EEEEEE"/>
                    <w:left w:val="none" w:sz="0" w:space="0" w:color="auto"/>
                    <w:bottom w:val="none" w:sz="0" w:space="0" w:color="auto"/>
                    <w:right w:val="none" w:sz="0" w:space="0" w:color="auto"/>
                  </w:divBdr>
                  <w:divsChild>
                    <w:div w:id="1620140517">
                      <w:marLeft w:val="0"/>
                      <w:marRight w:val="0"/>
                      <w:marTop w:val="0"/>
                      <w:marBottom w:val="0"/>
                      <w:divBdr>
                        <w:top w:val="none" w:sz="0" w:space="0" w:color="auto"/>
                        <w:left w:val="none" w:sz="0" w:space="0" w:color="auto"/>
                        <w:bottom w:val="none" w:sz="0" w:space="0" w:color="auto"/>
                        <w:right w:val="none" w:sz="0" w:space="0" w:color="auto"/>
                      </w:divBdr>
                      <w:divsChild>
                        <w:div w:id="6437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321912">
      <w:bodyDiv w:val="1"/>
      <w:marLeft w:val="0"/>
      <w:marRight w:val="0"/>
      <w:marTop w:val="0"/>
      <w:marBottom w:val="0"/>
      <w:divBdr>
        <w:top w:val="none" w:sz="0" w:space="0" w:color="auto"/>
        <w:left w:val="none" w:sz="0" w:space="0" w:color="auto"/>
        <w:bottom w:val="none" w:sz="0" w:space="0" w:color="auto"/>
        <w:right w:val="none" w:sz="0" w:space="0" w:color="auto"/>
      </w:divBdr>
      <w:divsChild>
        <w:div w:id="1668903146">
          <w:marLeft w:val="0"/>
          <w:marRight w:val="0"/>
          <w:marTop w:val="0"/>
          <w:marBottom w:val="0"/>
          <w:divBdr>
            <w:top w:val="none" w:sz="0" w:space="0" w:color="auto"/>
            <w:left w:val="none" w:sz="0" w:space="0" w:color="auto"/>
            <w:bottom w:val="none" w:sz="0" w:space="0" w:color="auto"/>
            <w:right w:val="none" w:sz="0" w:space="0" w:color="auto"/>
          </w:divBdr>
          <w:divsChild>
            <w:div w:id="1427115705">
              <w:marLeft w:val="3225"/>
              <w:marRight w:val="0"/>
              <w:marTop w:val="0"/>
              <w:marBottom w:val="0"/>
              <w:divBdr>
                <w:top w:val="none" w:sz="0" w:space="0" w:color="auto"/>
                <w:left w:val="none" w:sz="0" w:space="0" w:color="auto"/>
                <w:bottom w:val="none" w:sz="0" w:space="0" w:color="auto"/>
                <w:right w:val="none" w:sz="0" w:space="0" w:color="auto"/>
              </w:divBdr>
              <w:divsChild>
                <w:div w:id="66656890">
                  <w:marLeft w:val="90"/>
                  <w:marRight w:val="0"/>
                  <w:marTop w:val="0"/>
                  <w:marBottom w:val="0"/>
                  <w:divBdr>
                    <w:top w:val="single" w:sz="6" w:space="0" w:color="EEEEEE"/>
                    <w:left w:val="none" w:sz="0" w:space="0" w:color="auto"/>
                    <w:bottom w:val="none" w:sz="0" w:space="0" w:color="auto"/>
                    <w:right w:val="none" w:sz="0" w:space="0" w:color="auto"/>
                  </w:divBdr>
                  <w:divsChild>
                    <w:div w:id="1588041">
                      <w:marLeft w:val="0"/>
                      <w:marRight w:val="0"/>
                      <w:marTop w:val="0"/>
                      <w:marBottom w:val="0"/>
                      <w:divBdr>
                        <w:top w:val="none" w:sz="0" w:space="0" w:color="auto"/>
                        <w:left w:val="none" w:sz="0" w:space="0" w:color="auto"/>
                        <w:bottom w:val="none" w:sz="0" w:space="0" w:color="auto"/>
                        <w:right w:val="none" w:sz="0" w:space="0" w:color="auto"/>
                      </w:divBdr>
                      <w:divsChild>
                        <w:div w:id="6268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603697">
      <w:bodyDiv w:val="1"/>
      <w:marLeft w:val="0"/>
      <w:marRight w:val="0"/>
      <w:marTop w:val="0"/>
      <w:marBottom w:val="0"/>
      <w:divBdr>
        <w:top w:val="none" w:sz="0" w:space="0" w:color="auto"/>
        <w:left w:val="none" w:sz="0" w:space="0" w:color="auto"/>
        <w:bottom w:val="none" w:sz="0" w:space="0" w:color="auto"/>
        <w:right w:val="none" w:sz="0" w:space="0" w:color="auto"/>
      </w:divBdr>
    </w:div>
    <w:div w:id="2056736156">
      <w:bodyDiv w:val="1"/>
      <w:marLeft w:val="0"/>
      <w:marRight w:val="0"/>
      <w:marTop w:val="0"/>
      <w:marBottom w:val="0"/>
      <w:divBdr>
        <w:top w:val="none" w:sz="0" w:space="0" w:color="auto"/>
        <w:left w:val="none" w:sz="0" w:space="0" w:color="auto"/>
        <w:bottom w:val="none" w:sz="0" w:space="0" w:color="auto"/>
        <w:right w:val="none" w:sz="0" w:space="0" w:color="auto"/>
      </w:divBdr>
    </w:div>
    <w:div w:id="2087728123">
      <w:bodyDiv w:val="1"/>
      <w:marLeft w:val="0"/>
      <w:marRight w:val="0"/>
      <w:marTop w:val="0"/>
      <w:marBottom w:val="0"/>
      <w:divBdr>
        <w:top w:val="none" w:sz="0" w:space="0" w:color="auto"/>
        <w:left w:val="none" w:sz="0" w:space="0" w:color="auto"/>
        <w:bottom w:val="none" w:sz="0" w:space="0" w:color="auto"/>
        <w:right w:val="none" w:sz="0" w:space="0" w:color="auto"/>
      </w:divBdr>
      <w:divsChild>
        <w:div w:id="948661736">
          <w:marLeft w:val="0"/>
          <w:marRight w:val="0"/>
          <w:marTop w:val="0"/>
          <w:marBottom w:val="0"/>
          <w:divBdr>
            <w:top w:val="none" w:sz="0" w:space="0" w:color="auto"/>
            <w:left w:val="none" w:sz="0" w:space="0" w:color="auto"/>
            <w:bottom w:val="none" w:sz="0" w:space="0" w:color="auto"/>
            <w:right w:val="none" w:sz="0" w:space="0" w:color="auto"/>
          </w:divBdr>
          <w:divsChild>
            <w:div w:id="138036537">
              <w:marLeft w:val="3225"/>
              <w:marRight w:val="0"/>
              <w:marTop w:val="0"/>
              <w:marBottom w:val="0"/>
              <w:divBdr>
                <w:top w:val="none" w:sz="0" w:space="0" w:color="auto"/>
                <w:left w:val="none" w:sz="0" w:space="0" w:color="auto"/>
                <w:bottom w:val="none" w:sz="0" w:space="0" w:color="auto"/>
                <w:right w:val="none" w:sz="0" w:space="0" w:color="auto"/>
              </w:divBdr>
              <w:divsChild>
                <w:div w:id="8412250">
                  <w:marLeft w:val="90"/>
                  <w:marRight w:val="0"/>
                  <w:marTop w:val="0"/>
                  <w:marBottom w:val="0"/>
                  <w:divBdr>
                    <w:top w:val="single" w:sz="6" w:space="0" w:color="EEEEEE"/>
                    <w:left w:val="none" w:sz="0" w:space="0" w:color="auto"/>
                    <w:bottom w:val="none" w:sz="0" w:space="0" w:color="auto"/>
                    <w:right w:val="none" w:sz="0" w:space="0" w:color="auto"/>
                  </w:divBdr>
                  <w:divsChild>
                    <w:div w:id="805391152">
                      <w:marLeft w:val="0"/>
                      <w:marRight w:val="0"/>
                      <w:marTop w:val="0"/>
                      <w:marBottom w:val="0"/>
                      <w:divBdr>
                        <w:top w:val="none" w:sz="0" w:space="0" w:color="auto"/>
                        <w:left w:val="none" w:sz="0" w:space="0" w:color="auto"/>
                        <w:bottom w:val="none" w:sz="0" w:space="0" w:color="auto"/>
                        <w:right w:val="none" w:sz="0" w:space="0" w:color="auto"/>
                      </w:divBdr>
                      <w:divsChild>
                        <w:div w:id="18792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2764">
      <w:bodyDiv w:val="1"/>
      <w:marLeft w:val="0"/>
      <w:marRight w:val="0"/>
      <w:marTop w:val="0"/>
      <w:marBottom w:val="0"/>
      <w:divBdr>
        <w:top w:val="none" w:sz="0" w:space="0" w:color="auto"/>
        <w:left w:val="none" w:sz="0" w:space="0" w:color="auto"/>
        <w:bottom w:val="none" w:sz="0" w:space="0" w:color="auto"/>
        <w:right w:val="none" w:sz="0" w:space="0" w:color="auto"/>
      </w:divBdr>
      <w:divsChild>
        <w:div w:id="1571034544">
          <w:marLeft w:val="0"/>
          <w:marRight w:val="0"/>
          <w:marTop w:val="0"/>
          <w:marBottom w:val="0"/>
          <w:divBdr>
            <w:top w:val="none" w:sz="0" w:space="0" w:color="auto"/>
            <w:left w:val="none" w:sz="0" w:space="0" w:color="auto"/>
            <w:bottom w:val="none" w:sz="0" w:space="0" w:color="auto"/>
            <w:right w:val="none" w:sz="0" w:space="0" w:color="auto"/>
          </w:divBdr>
          <w:divsChild>
            <w:div w:id="1470366295">
              <w:marLeft w:val="3225"/>
              <w:marRight w:val="0"/>
              <w:marTop w:val="0"/>
              <w:marBottom w:val="0"/>
              <w:divBdr>
                <w:top w:val="none" w:sz="0" w:space="0" w:color="auto"/>
                <w:left w:val="none" w:sz="0" w:space="0" w:color="auto"/>
                <w:bottom w:val="none" w:sz="0" w:space="0" w:color="auto"/>
                <w:right w:val="none" w:sz="0" w:space="0" w:color="auto"/>
              </w:divBdr>
              <w:divsChild>
                <w:div w:id="1277567581">
                  <w:marLeft w:val="90"/>
                  <w:marRight w:val="0"/>
                  <w:marTop w:val="0"/>
                  <w:marBottom w:val="0"/>
                  <w:divBdr>
                    <w:top w:val="single" w:sz="6" w:space="0" w:color="EEEEEE"/>
                    <w:left w:val="none" w:sz="0" w:space="0" w:color="auto"/>
                    <w:bottom w:val="none" w:sz="0" w:space="0" w:color="auto"/>
                    <w:right w:val="none" w:sz="0" w:space="0" w:color="auto"/>
                  </w:divBdr>
                  <w:divsChild>
                    <w:div w:id="2129203767">
                      <w:marLeft w:val="0"/>
                      <w:marRight w:val="0"/>
                      <w:marTop w:val="0"/>
                      <w:marBottom w:val="0"/>
                      <w:divBdr>
                        <w:top w:val="none" w:sz="0" w:space="0" w:color="auto"/>
                        <w:left w:val="none" w:sz="0" w:space="0" w:color="auto"/>
                        <w:bottom w:val="none" w:sz="0" w:space="0" w:color="auto"/>
                        <w:right w:val="none" w:sz="0" w:space="0" w:color="auto"/>
                      </w:divBdr>
                      <w:divsChild>
                        <w:div w:id="27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ilieu.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alin.dobias@milieu.be"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commission.europa.eu/document/download/5ca0f861-b4d4-412d-bd7d-dbe3582af1c1_en?filename=40_1_193993_coun_chap_hungary_en.pdf" TargetMode="External"/><Relationship Id="rId21" Type="http://schemas.openxmlformats.org/officeDocument/2006/relationships/hyperlink" Target="https://net.jogtar.hu/jogszabaly?docid=a1100151.tv" TargetMode="External"/><Relationship Id="rId42" Type="http://schemas.openxmlformats.org/officeDocument/2006/relationships/hyperlink" Target="https://helsinki.hu/en/wp-content/uploads/sites/2/2022/01/HUN_NGO_contribution_EC_RoL_Report_2022.pdf" TargetMode="External"/><Relationship Id="rId47" Type="http://schemas.openxmlformats.org/officeDocument/2006/relationships/hyperlink" Target="http://public.mkab.hu/dev/dontesek.nsf/0/58C4C4BC8B4F2356C1258782005EDA9C?OpenDocument&amp;fbclid=IwAR2cYyIyds7f2ZuuyahZ-BZsaL49p-BjEhcFRADDdFnfoVJ2d4Gl3w1IJtE" TargetMode="External"/><Relationship Id="rId63" Type="http://schemas.openxmlformats.org/officeDocument/2006/relationships/hyperlink" Target="https://helsinki.hu/en/wp-content/uploads/sites/2/2023/01/HUN_CSO_contribution_EC_RoL_Report_2023.pdf" TargetMode="External"/><Relationship Id="rId68" Type="http://schemas.openxmlformats.org/officeDocument/2006/relationships/hyperlink" Target="https://net.jogtar.hu/jogszabaly?docid=a1000185.tv" TargetMode="External"/><Relationship Id="rId2" Type="http://schemas.openxmlformats.org/officeDocument/2006/relationships/hyperlink" Target="https://commission.europa.eu/system/files/2022-07/40_1_193993_coun_chap_hungary_en.pdf" TargetMode="External"/><Relationship Id="rId16" Type="http://schemas.openxmlformats.org/officeDocument/2006/relationships/hyperlink" Target="https://www.parlament.hu/irom42/00025/00025.pdf" TargetMode="External"/><Relationship Id="rId29" Type="http://schemas.openxmlformats.org/officeDocument/2006/relationships/hyperlink" Target="https://www.theguardian.com/world/2022/jan/28/hungarian-journalists-targeted-with-pegasus-spyware-to-sue-state" TargetMode="External"/><Relationship Id="rId11" Type="http://schemas.openxmlformats.org/officeDocument/2006/relationships/hyperlink" Target="https://www.washingtonpost.com/politics/2022/04/06/orban-fidesz-autocratic-hungary-illiberal-democracy/" TargetMode="External"/><Relationship Id="rId24" Type="http://schemas.openxmlformats.org/officeDocument/2006/relationships/hyperlink" Target="https://njt.hu/jogszabaly/2020-30-00-00" TargetMode="External"/><Relationship Id="rId32" Type="http://schemas.openxmlformats.org/officeDocument/2006/relationships/hyperlink" Target="https://orszagosbiroitanacs.hu/bemutatkozas/" TargetMode="External"/><Relationship Id="rId37" Type="http://schemas.openxmlformats.org/officeDocument/2006/relationships/hyperlink" Target="https://blogs.eui.eu/constitutionalism-politics-working-group/dont-fooled-autocrats-hungarys-emergency-violates-rule-law/" TargetMode="External"/><Relationship Id="rId40" Type="http://schemas.openxmlformats.org/officeDocument/2006/relationships/hyperlink" Target="https://commission.europa.eu/system/files/2022-07/40_1_193993_coun_chap_hungary_en.pdf" TargetMode="External"/><Relationship Id="rId45" Type="http://schemas.openxmlformats.org/officeDocument/2006/relationships/hyperlink" Target="https://www.dw.com/en/hungary-approves-law-banning-lgbtq-content-for-minors/a-57909844" TargetMode="External"/><Relationship Id="rId53" Type="http://schemas.openxmlformats.org/officeDocument/2006/relationships/hyperlink" Target="https://images.transparencycdn.org/images/CPI2022-Report-Embargoed-until-6.01am-CET-31-JANUARY-2023.pdf" TargetMode="External"/><Relationship Id="rId58" Type="http://schemas.openxmlformats.org/officeDocument/2006/relationships/hyperlink" Target="https://helsinki.hu/en/wp-content/uploads/sites/2/2023/01/HUN_CSO_contribution_EC_RoL_Report_2023.pdf" TargetMode="External"/><Relationship Id="rId66" Type="http://schemas.openxmlformats.org/officeDocument/2006/relationships/hyperlink" Target="https://helsinki.hu/en/wp-content/uploads/sites/2/2023/01/HUN_CSO_contribution_EC_RoL_Report_2023.pdf" TargetMode="External"/><Relationship Id="rId74" Type="http://schemas.openxmlformats.org/officeDocument/2006/relationships/hyperlink" Target="https://gdpr-info.eu/art-85-gdpr/" TargetMode="External"/><Relationship Id="rId5" Type="http://schemas.openxmlformats.org/officeDocument/2006/relationships/hyperlink" Target="https://freedomhouse.org/sites/default/files/2023-03/FIW_World_2023_DigtalPDF.pdf" TargetMode="External"/><Relationship Id="rId61" Type="http://schemas.openxmlformats.org/officeDocument/2006/relationships/hyperlink" Target="https://net.jogtar.hu/jogszabaly?docid=A2200027.TV&amp;searchUrl=/gyorskereso" TargetMode="External"/><Relationship Id="rId19" Type="http://schemas.openxmlformats.org/officeDocument/2006/relationships/hyperlink" Target="https://curia.europa.eu/juris/document/document.jsf?text=&amp;docid=272148&amp;pageIndex=0&amp;doclang=EN&amp;mode=lst&amp;dir=&amp;occ=first&amp;part=1&amp;cid=2439749" TargetMode="External"/><Relationship Id="rId14" Type="http://schemas.openxmlformats.org/officeDocument/2006/relationships/hyperlink" Target="https://helsinki.hu/en/wp-content/uploads/sites/2/2023/01/HUN_CSO_contribution_EC_RoL_Report_2023.pdf" TargetMode="External"/><Relationship Id="rId22" Type="http://schemas.openxmlformats.org/officeDocument/2006/relationships/hyperlink" Target="https://commission.europa.eu/system/files/2022-07/40_1_193993_coun_chap_hungary_en.pdf" TargetMode="External"/><Relationship Id="rId27" Type="http://schemas.openxmlformats.org/officeDocument/2006/relationships/hyperlink" Target="https://ganhri.org/paris-principles/" TargetMode="External"/><Relationship Id="rId30" Type="http://schemas.openxmlformats.org/officeDocument/2006/relationships/hyperlink" Target="https://commission.europa.eu/document/download/5ca0f861-b4d4-412d-bd7d-dbe3582af1c1_en?filename=40_1_193993_coun_chap_hungary_en.pdf" TargetMode="External"/><Relationship Id="rId35" Type="http://schemas.openxmlformats.org/officeDocument/2006/relationships/hyperlink" Target="https://net.jogtar.hu/jogszabaly?docid=a1100425.atv" TargetMode="External"/><Relationship Id="rId43" Type="http://schemas.openxmlformats.org/officeDocument/2006/relationships/hyperlink" Target="https://alkotmanybirosag.hu/kozlemeny/nepszavazasi-kerdesek-hitelesitese-ugyeben-dontott-az-alkotmanybirosag/" TargetMode="External"/><Relationship Id="rId48" Type="http://schemas.openxmlformats.org/officeDocument/2006/relationships/hyperlink" Target="http://public.mkab.hu/dev/dontesek.nsf/0/58c4c4bc8b4f2356c1258782005eda9c/$FILE/33_2021%20AB%20hat%C3%A1rozat.pdf" TargetMode="External"/><Relationship Id="rId56" Type="http://schemas.openxmlformats.org/officeDocument/2006/relationships/hyperlink" Target="https://hvg.hu/gazdasag/20230427_schadl_gyorgy_lemondott_mbvk" TargetMode="External"/><Relationship Id="rId64" Type="http://schemas.openxmlformats.org/officeDocument/2006/relationships/hyperlink" Target="https://transparency.hu/en/news/letter-to-the-european-commission-on-the-highway-concession-case/" TargetMode="External"/><Relationship Id="rId69" Type="http://schemas.openxmlformats.org/officeDocument/2006/relationships/hyperlink" Target="https://www.osce.org/fom/90823" TargetMode="External"/><Relationship Id="rId8" Type="http://schemas.openxmlformats.org/officeDocument/2006/relationships/hyperlink" Target="https://www.venice.coe.int/webforms/documents/default.aspx?pdffile=CDL-AD(2011)001-e" TargetMode="External"/><Relationship Id="rId51" Type="http://schemas.openxmlformats.org/officeDocument/2006/relationships/hyperlink" Target="https://assembly.coe.int/CommitteeDocs/2013/NYFf%C4%B1nalpressfjdoc1e.pdf" TargetMode="External"/><Relationship Id="rId72" Type="http://schemas.openxmlformats.org/officeDocument/2006/relationships/hyperlink" Target="https://helsinki.hu/en/wp-content/uploads/sites/2/2023/01/HUN_CSO_contribution_EC_RoL_Report_2023.pdf" TargetMode="External"/><Relationship Id="rId3" Type="http://schemas.openxmlformats.org/officeDocument/2006/relationships/hyperlink" Target="https://www.journalofdemocracy.org/articles/on-democratic-backsliding/" TargetMode="External"/><Relationship Id="rId12" Type="http://schemas.openxmlformats.org/officeDocument/2006/relationships/hyperlink" Target="https://www.euractiv.com/section/elections/news/voter-tourism-new-hungarian-residency-law-raises-risk-of-electorate-manipulation-ngos-warn/" TargetMode="External"/><Relationship Id="rId17" Type="http://schemas.openxmlformats.org/officeDocument/2006/relationships/hyperlink" Target="https://curia.europa.eu/juris/liste.jsf?num=C-808/18" TargetMode="External"/><Relationship Id="rId25" Type="http://schemas.openxmlformats.org/officeDocument/2006/relationships/hyperlink" Target="https://helsinki.hu/en/all-you-ever-wanted-to-know-about-what-happened-to-refugee-protection-in-hungary-since-2015-in-one-place/" TargetMode="External"/><Relationship Id="rId33" Type="http://schemas.openxmlformats.org/officeDocument/2006/relationships/hyperlink" Target="https://helsinki.hu/en/new-study-on-case-allocation-in-courts-current-system-does-not-prevent-abuse/" TargetMode="External"/><Relationship Id="rId38" Type="http://schemas.openxmlformats.org/officeDocument/2006/relationships/hyperlink" Target="https://commission.europa.eu/system/files/2022-07/40_1_193993_coun_chap_hungary_en.pdf" TargetMode="External"/><Relationship Id="rId46" Type="http://schemas.openxmlformats.org/officeDocument/2006/relationships/hyperlink" Target="https://ilga-europe.org/news/referendum-hungary-3-april-2022/" TargetMode="External"/><Relationship Id="rId59" Type="http://schemas.openxmlformats.org/officeDocument/2006/relationships/hyperlink" Target="https://www.europarl.europa.eu/thinktank/en/document/IPOL_BRI(2023)741581" TargetMode="External"/><Relationship Id="rId67" Type="http://schemas.openxmlformats.org/officeDocument/2006/relationships/hyperlink" Target="https://helsinki.hu/en/wp-content/uploads/sites/2/2023/01/HUN_CSO_contribution_EC_RoL_Report_2023.pdf" TargetMode="External"/><Relationship Id="rId20" Type="http://schemas.openxmlformats.org/officeDocument/2006/relationships/hyperlink" Target="https://www.icj.org/wp-content/uploads/2002/03/Hatter-v.-Pepsi-Sziget-Budapest-2nd-and-3rd-District-Court-of-Justice-Hungary-Hungarian.pdf" TargetMode="External"/><Relationship Id="rId41" Type="http://schemas.openxmlformats.org/officeDocument/2006/relationships/hyperlink" Target="https://abszemle.hu/a-biroi-dontesek-alkotmanybirosagi-felulvizsgalatanak-terjedelme-a-nemet-es-magyar-gyakorlatban/" TargetMode="External"/><Relationship Id="rId54" Type="http://schemas.openxmlformats.org/officeDocument/2006/relationships/hyperlink" Target="https://www.transparency.org/en/cpi/2022/index/hun" TargetMode="External"/><Relationship Id="rId62" Type="http://schemas.openxmlformats.org/officeDocument/2006/relationships/hyperlink" Target="https://helsinki.hu/en/wp-content/uploads/sites/2/2023/01/HUN_CSO_contribution_EC_RoL_Report_2023.pdf" TargetMode="External"/><Relationship Id="rId70" Type="http://schemas.openxmlformats.org/officeDocument/2006/relationships/hyperlink" Target="https://helsinki.hu/en/wp-content/uploads/sites/2/2023/01/HUN_CSO_contribution_EC_RoL_Report_2023.pdf" TargetMode="External"/><Relationship Id="rId75" Type="http://schemas.openxmlformats.org/officeDocument/2006/relationships/hyperlink" Target="https://commission.europa.eu/publications/stop-brussels-european-commission-responds-hungarian-national-consultation_en" TargetMode="External"/><Relationship Id="rId1" Type="http://schemas.openxmlformats.org/officeDocument/2006/relationships/hyperlink" Target="https://www.parlament.hu/aktual/srk_trv/bevezetes" TargetMode="External"/><Relationship Id="rId6" Type="http://schemas.openxmlformats.org/officeDocument/2006/relationships/hyperlink" Target="https://www.v-dem.net/documents/29/V-dem_democracyreport2023_lowres.pdf" TargetMode="External"/><Relationship Id="rId15" Type="http://schemas.openxmlformats.org/officeDocument/2006/relationships/hyperlink" Target="https://helsinki.hu/en/wp-content/uploads/sites/2/2023/01/HUN_CSO_contribution_EC_RoL_Report_2023.pdf" TargetMode="External"/><Relationship Id="rId23" Type="http://schemas.openxmlformats.org/officeDocument/2006/relationships/hyperlink" Target="https://helsinki.hu/wp-content/uploads/Assessment_NHRI_Hungary_18022021_HHC.pdf" TargetMode="External"/><Relationship Id="rId28" Type="http://schemas.openxmlformats.org/officeDocument/2006/relationships/hyperlink" Target="https://commission.europa.eu/document/download/5ca0f861-b4d4-412d-bd7d-dbe3582af1c1_en?filename=40_1_193993_coun_chap_hungary_en.pdf" TargetMode="External"/><Relationship Id="rId36" Type="http://schemas.openxmlformats.org/officeDocument/2006/relationships/hyperlink" Target="https://net.jogtar.hu/jogszabaly?docid=a1100425.atv" TargetMode="External"/><Relationship Id="rId49" Type="http://schemas.openxmlformats.org/officeDocument/2006/relationships/hyperlink" Target="https://444.hu/2022/04/04/ervenytelen-lett-a-homofob-nepszavazas" TargetMode="External"/><Relationship Id="rId57" Type="http://schemas.openxmlformats.org/officeDocument/2006/relationships/hyperlink" Target="https://commission.europa.eu/system/files/2022-07/40_1_193993_coun_chap_hungary_en.pdf" TargetMode="External"/><Relationship Id="rId10" Type="http://schemas.openxmlformats.org/officeDocument/2006/relationships/hyperlink" Target="https://www.idea.int/answer/ans1303551903424613" TargetMode="External"/><Relationship Id="rId31" Type="http://schemas.openxmlformats.org/officeDocument/2006/relationships/hyperlink" Target="https://njt.hu/jogszabaly/2011-161-00-00" TargetMode="External"/><Relationship Id="rId44" Type="http://schemas.openxmlformats.org/officeDocument/2006/relationships/hyperlink" Target="https://tasz.hu/cikkek/a-kormany-jogserto-nepszavazasi-kerdesei-miatt-birosaghoz-fordult-a-tasz" TargetMode="External"/><Relationship Id="rId52" Type="http://schemas.openxmlformats.org/officeDocument/2006/relationships/hyperlink" Target="https://www.politico.eu/article/hungary-orban-corruption-transparency-international/" TargetMode="External"/><Relationship Id="rId60" Type="http://schemas.openxmlformats.org/officeDocument/2006/relationships/hyperlink" Target="https://transparency.hu/wp-content/uploads/2022/11/HU_17_measures_assessment_17112022.pdf" TargetMode="External"/><Relationship Id="rId65" Type="http://schemas.openxmlformats.org/officeDocument/2006/relationships/hyperlink" Target="https://helsinki.hu/en/wp-content/uploads/sites/2/2023/01/HUN_CSO_contribution_EC_RoL_Report_2023.pdf" TargetMode="External"/><Relationship Id="rId73" Type="http://schemas.openxmlformats.org/officeDocument/2006/relationships/hyperlink" Target="https://helsinki.hu/en/wp-content/uploads/sites/2/2023/01/HUN_CSO_contribution_EC_RoL_Report_2023.pdf" TargetMode="External"/><Relationship Id="rId4" Type="http://schemas.openxmlformats.org/officeDocument/2006/relationships/hyperlink" Target="https://freedomhouse.org/sites/default/files/2023-03/FIW_World_2023_DigtalPDF.pdf" TargetMode="External"/><Relationship Id="rId9" Type="http://schemas.openxmlformats.org/officeDocument/2006/relationships/hyperlink" Target="https://www.constituteproject.org/constitution/Hungary_2016?lang=en" TargetMode="External"/><Relationship Id="rId13" Type="http://schemas.openxmlformats.org/officeDocument/2006/relationships/hyperlink" Target="https://commission.europa.eu/system/files/2022-07/40_1_193993_coun_chap_hungary_en.pdf" TargetMode="External"/><Relationship Id="rId18" Type="http://schemas.openxmlformats.org/officeDocument/2006/relationships/hyperlink" Target="https://commission.europa.eu/system/files/2022-07/40_1_193993_coun_chap_hungary_en.pdf" TargetMode="External"/><Relationship Id="rId39" Type="http://schemas.openxmlformats.org/officeDocument/2006/relationships/hyperlink" Target="https://ezalenyeg.hu/orszagszerte/mok-a-korhazakban-gyogyitanak-ezt-kell-bemutatnia-a-sajtonak-57222" TargetMode="External"/><Relationship Id="rId34" Type="http://schemas.openxmlformats.org/officeDocument/2006/relationships/hyperlink" Target="https://commission.europa.eu/system/files/2022-07/40_1_193993_coun_chap_hungary_en.pdf" TargetMode="External"/><Relationship Id="rId50" Type="http://schemas.openxmlformats.org/officeDocument/2006/relationships/hyperlink" Target="https://commission.europa.eu/publications/2022-rule-law-report-communication-and-country-chapters_en" TargetMode="External"/><Relationship Id="rId55" Type="http://schemas.openxmlformats.org/officeDocument/2006/relationships/hyperlink" Target="https://index.hu/belfold/2023/02/12/schadl-gyorgy-volner-pal-korrupcio-vesztegetes-befolyassal-uzerkedes-vegrehajto/" TargetMode="External"/><Relationship Id="rId76" Type="http://schemas.openxmlformats.org/officeDocument/2006/relationships/hyperlink" Target="https://www.europarl.europa.eu/news/en/press-room/20220909IPR40137/meps-hungary-can-no-longer-be-considered-a-full-democracy" TargetMode="External"/><Relationship Id="rId7" Type="http://schemas.openxmlformats.org/officeDocument/2006/relationships/hyperlink" Target="https://lapa.princeton.edu/hosteddocs/amicus-to-vc-english-final.pdf" TargetMode="External"/><Relationship Id="rId71" Type="http://schemas.openxmlformats.org/officeDocument/2006/relationships/hyperlink" Target="https://media1.hu/2022/03/01/biralja-a-mediatanacs-az-ellenzeket-amiert-kritizalta-az-orosz-propagandat-terjeszto-kozmediat-es-papp-danielt-az-mtva-vezerigazgatoj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esktop\Milieu%20proposal%20template%202019.dotx" TargetMode="External"/></Relationships>
</file>

<file path=word/theme/theme1.xml><?xml version="1.0" encoding="utf-8"?>
<a:theme xmlns:a="http://schemas.openxmlformats.org/drawingml/2006/main" name="Office Theme">
  <a:themeElements>
    <a:clrScheme name="M Color">
      <a:dk1>
        <a:sysClr val="windowText" lastClr="000000"/>
      </a:dk1>
      <a:lt1>
        <a:sysClr val="window" lastClr="FFFFFF"/>
      </a:lt1>
      <a:dk2>
        <a:srgbClr val="EAF1DD"/>
      </a:dk2>
      <a:lt2>
        <a:srgbClr val="7AB800"/>
      </a:lt2>
      <a:accent1>
        <a:srgbClr val="C3D69B"/>
      </a:accent1>
      <a:accent2>
        <a:srgbClr val="953735"/>
      </a:accent2>
      <a:accent3>
        <a:srgbClr val="DBDBDB"/>
      </a:accent3>
      <a:accent4>
        <a:srgbClr val="A6A6A6"/>
      </a:accent4>
      <a:accent5>
        <a:srgbClr val="385D8A"/>
      </a:accent5>
      <a:accent6>
        <a:srgbClr val="F79646"/>
      </a:accent6>
      <a:hlink>
        <a:srgbClr val="0000FF"/>
      </a:hlink>
      <a:folHlink>
        <a:srgbClr val="800080"/>
      </a:folHlink>
    </a:clrScheme>
    <a:fontScheme name="Milieu Proposal">
      <a:majorFont>
        <a:latin typeface="Century Gothic"/>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5ADA78718DD4B8F6BED765056F55A" ma:contentTypeVersion="2" ma:contentTypeDescription="Create a new document." ma:contentTypeScope="" ma:versionID="efb01544eb9307abe2948a28ac791922">
  <xsd:schema xmlns:xsd="http://www.w3.org/2001/XMLSchema" xmlns:xs="http://www.w3.org/2001/XMLSchema" xmlns:p="http://schemas.microsoft.com/office/2006/metadata/properties" xmlns:ns2="9c612827-48d7-4678-83af-c5db596bf1e0" targetNamespace="http://schemas.microsoft.com/office/2006/metadata/properties" ma:root="true" ma:fieldsID="11ec66b4de1b1dc6e85ecfa6b5877080" ns2:_="">
    <xsd:import namespace="9c612827-48d7-4678-83af-c5db596bf1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12827-48d7-4678-83af-c5db596bf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DE6A0-006C-4641-90C1-C4EEB6D27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12827-48d7-4678-83af-c5db596b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B66DE-A474-49E5-A51A-9D9C3B9B9BDB}">
  <ds:schemaRefs>
    <ds:schemaRef ds:uri="http://schemas.openxmlformats.org/officeDocument/2006/bibliography"/>
  </ds:schemaRefs>
</ds:datastoreItem>
</file>

<file path=customXml/itemProps3.xml><?xml version="1.0" encoding="utf-8"?>
<ds:datastoreItem xmlns:ds="http://schemas.openxmlformats.org/officeDocument/2006/customXml" ds:itemID="{79020817-45B4-4677-BBA1-07A231788E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1BB564-934C-40CD-8093-6D8B89E1E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Milieu proposal template 2019</Template>
  <TotalTime>2</TotalTime>
  <Pages>29</Pages>
  <Words>10470</Words>
  <Characters>59680</Characters>
  <Application>Microsoft Office Word</Application>
  <DocSecurity>0</DocSecurity>
  <Lines>497</Lines>
  <Paragraphs>140</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1</vt:lpstr>
      <vt:lpstr>1</vt:lpstr>
      <vt:lpstr>1</vt:lpstr>
    </vt:vector>
  </TitlesOfParts>
  <Company>Milieu</Company>
  <LinksUpToDate>false</LinksUpToDate>
  <CharactersWithSpaces>70010</CharactersWithSpaces>
  <SharedDoc>false</SharedDoc>
  <HLinks>
    <vt:vector size="516" baseType="variant">
      <vt:variant>
        <vt:i4>1245244</vt:i4>
      </vt:variant>
      <vt:variant>
        <vt:i4>32</vt:i4>
      </vt:variant>
      <vt:variant>
        <vt:i4>0</vt:i4>
      </vt:variant>
      <vt:variant>
        <vt:i4>5</vt:i4>
      </vt:variant>
      <vt:variant>
        <vt:lpwstr/>
      </vt:variant>
      <vt:variant>
        <vt:lpwstr>_Toc133780604</vt:lpwstr>
      </vt:variant>
      <vt:variant>
        <vt:i4>1245244</vt:i4>
      </vt:variant>
      <vt:variant>
        <vt:i4>26</vt:i4>
      </vt:variant>
      <vt:variant>
        <vt:i4>0</vt:i4>
      </vt:variant>
      <vt:variant>
        <vt:i4>5</vt:i4>
      </vt:variant>
      <vt:variant>
        <vt:lpwstr/>
      </vt:variant>
      <vt:variant>
        <vt:lpwstr>_Toc133780603</vt:lpwstr>
      </vt:variant>
      <vt:variant>
        <vt:i4>1245244</vt:i4>
      </vt:variant>
      <vt:variant>
        <vt:i4>20</vt:i4>
      </vt:variant>
      <vt:variant>
        <vt:i4>0</vt:i4>
      </vt:variant>
      <vt:variant>
        <vt:i4>5</vt:i4>
      </vt:variant>
      <vt:variant>
        <vt:lpwstr/>
      </vt:variant>
      <vt:variant>
        <vt:lpwstr>_Toc133780602</vt:lpwstr>
      </vt:variant>
      <vt:variant>
        <vt:i4>1245244</vt:i4>
      </vt:variant>
      <vt:variant>
        <vt:i4>14</vt:i4>
      </vt:variant>
      <vt:variant>
        <vt:i4>0</vt:i4>
      </vt:variant>
      <vt:variant>
        <vt:i4>5</vt:i4>
      </vt:variant>
      <vt:variant>
        <vt:lpwstr/>
      </vt:variant>
      <vt:variant>
        <vt:lpwstr>_Toc133780601</vt:lpwstr>
      </vt:variant>
      <vt:variant>
        <vt:i4>1245244</vt:i4>
      </vt:variant>
      <vt:variant>
        <vt:i4>8</vt:i4>
      </vt:variant>
      <vt:variant>
        <vt:i4>0</vt:i4>
      </vt:variant>
      <vt:variant>
        <vt:i4>5</vt:i4>
      </vt:variant>
      <vt:variant>
        <vt:lpwstr/>
      </vt:variant>
      <vt:variant>
        <vt:lpwstr>_Toc133780600</vt:lpwstr>
      </vt:variant>
      <vt:variant>
        <vt:i4>262215</vt:i4>
      </vt:variant>
      <vt:variant>
        <vt:i4>3</vt:i4>
      </vt:variant>
      <vt:variant>
        <vt:i4>0</vt:i4>
      </vt:variant>
      <vt:variant>
        <vt:i4>5</vt:i4>
      </vt:variant>
      <vt:variant>
        <vt:lpwstr>http://www.milieu.be/</vt:lpwstr>
      </vt:variant>
      <vt:variant>
        <vt:lpwstr/>
      </vt:variant>
      <vt:variant>
        <vt:i4>5177394</vt:i4>
      </vt:variant>
      <vt:variant>
        <vt:i4>0</vt:i4>
      </vt:variant>
      <vt:variant>
        <vt:i4>0</vt:i4>
      </vt:variant>
      <vt:variant>
        <vt:i4>5</vt:i4>
      </vt:variant>
      <vt:variant>
        <vt:lpwstr>mailto:katalin.dobias@milieu.be</vt:lpwstr>
      </vt:variant>
      <vt:variant>
        <vt:lpwstr/>
      </vt:variant>
      <vt:variant>
        <vt:i4>5308495</vt:i4>
      </vt:variant>
      <vt:variant>
        <vt:i4>336</vt:i4>
      </vt:variant>
      <vt:variant>
        <vt:i4>0</vt:i4>
      </vt:variant>
      <vt:variant>
        <vt:i4>5</vt:i4>
      </vt:variant>
      <vt:variant>
        <vt:lpwstr>https://www.europarl.europa.eu/news/en/press-room/20220909IPR40137/meps-hungary-can-no-longer-be-considered-a-full-democracy</vt:lpwstr>
      </vt:variant>
      <vt:variant>
        <vt:lpwstr/>
      </vt:variant>
      <vt:variant>
        <vt:i4>2949124</vt:i4>
      </vt:variant>
      <vt:variant>
        <vt:i4>333</vt:i4>
      </vt:variant>
      <vt:variant>
        <vt:i4>0</vt:i4>
      </vt:variant>
      <vt:variant>
        <vt:i4>5</vt:i4>
      </vt:variant>
      <vt:variant>
        <vt:lpwstr>https://commission.europa.eu/publications/stop-brussels-european-commission-responds-hungarian-national-consultation_en</vt:lpwstr>
      </vt:variant>
      <vt:variant>
        <vt:lpwstr/>
      </vt:variant>
      <vt:variant>
        <vt:i4>4522060</vt:i4>
      </vt:variant>
      <vt:variant>
        <vt:i4>330</vt:i4>
      </vt:variant>
      <vt:variant>
        <vt:i4>0</vt:i4>
      </vt:variant>
      <vt:variant>
        <vt:i4>5</vt:i4>
      </vt:variant>
      <vt:variant>
        <vt:lpwstr>https://gdpr-info.eu/art-85-gdpr/</vt:lpwstr>
      </vt:variant>
      <vt:variant>
        <vt:lpwstr/>
      </vt:variant>
      <vt:variant>
        <vt:i4>5570586</vt:i4>
      </vt:variant>
      <vt:variant>
        <vt:i4>327</vt:i4>
      </vt:variant>
      <vt:variant>
        <vt:i4>0</vt:i4>
      </vt:variant>
      <vt:variant>
        <vt:i4>5</vt:i4>
      </vt:variant>
      <vt:variant>
        <vt:lpwstr>https://helsinki.hu/en/wp-content/uploads/sites/2/2023/01/HUN_CSO_contribution_EC_RoL_Report_2023.pdf</vt:lpwstr>
      </vt:variant>
      <vt:variant>
        <vt:lpwstr/>
      </vt:variant>
      <vt:variant>
        <vt:i4>5570586</vt:i4>
      </vt:variant>
      <vt:variant>
        <vt:i4>324</vt:i4>
      </vt:variant>
      <vt:variant>
        <vt:i4>0</vt:i4>
      </vt:variant>
      <vt:variant>
        <vt:i4>5</vt:i4>
      </vt:variant>
      <vt:variant>
        <vt:lpwstr>https://helsinki.hu/en/wp-content/uploads/sites/2/2023/01/HUN_CSO_contribution_EC_RoL_Report_2023.pdf</vt:lpwstr>
      </vt:variant>
      <vt:variant>
        <vt:lpwstr/>
      </vt:variant>
      <vt:variant>
        <vt:i4>5242962</vt:i4>
      </vt:variant>
      <vt:variant>
        <vt:i4>321</vt:i4>
      </vt:variant>
      <vt:variant>
        <vt:i4>0</vt:i4>
      </vt:variant>
      <vt:variant>
        <vt:i4>5</vt:i4>
      </vt:variant>
      <vt:variant>
        <vt:lpwstr>https://media1.hu/2022/03/01/biralja-a-mediatanacs-az-ellenzeket-amiert-kritizalta-az-orosz-propagandat-terjeszto-kozmediat-es-papp-danielt-az-mtva-vezerigazgatojat/</vt:lpwstr>
      </vt:variant>
      <vt:variant>
        <vt:lpwstr/>
      </vt:variant>
      <vt:variant>
        <vt:i4>5570586</vt:i4>
      </vt:variant>
      <vt:variant>
        <vt:i4>318</vt:i4>
      </vt:variant>
      <vt:variant>
        <vt:i4>0</vt:i4>
      </vt:variant>
      <vt:variant>
        <vt:i4>5</vt:i4>
      </vt:variant>
      <vt:variant>
        <vt:lpwstr>https://helsinki.hu/en/wp-content/uploads/sites/2/2023/01/HUN_CSO_contribution_EC_RoL_Report_2023.pdf</vt:lpwstr>
      </vt:variant>
      <vt:variant>
        <vt:lpwstr/>
      </vt:variant>
      <vt:variant>
        <vt:i4>7274621</vt:i4>
      </vt:variant>
      <vt:variant>
        <vt:i4>315</vt:i4>
      </vt:variant>
      <vt:variant>
        <vt:i4>0</vt:i4>
      </vt:variant>
      <vt:variant>
        <vt:i4>5</vt:i4>
      </vt:variant>
      <vt:variant>
        <vt:lpwstr>https://www.osce.org/fom/90823</vt:lpwstr>
      </vt:variant>
      <vt:variant>
        <vt:lpwstr/>
      </vt:variant>
      <vt:variant>
        <vt:i4>7536737</vt:i4>
      </vt:variant>
      <vt:variant>
        <vt:i4>312</vt:i4>
      </vt:variant>
      <vt:variant>
        <vt:i4>0</vt:i4>
      </vt:variant>
      <vt:variant>
        <vt:i4>5</vt:i4>
      </vt:variant>
      <vt:variant>
        <vt:lpwstr>https://net.jogtar.hu/jogszabaly?docid=a1000185.tv</vt:lpwstr>
      </vt:variant>
      <vt:variant>
        <vt:lpwstr/>
      </vt:variant>
      <vt:variant>
        <vt:i4>5570586</vt:i4>
      </vt:variant>
      <vt:variant>
        <vt:i4>309</vt:i4>
      </vt:variant>
      <vt:variant>
        <vt:i4>0</vt:i4>
      </vt:variant>
      <vt:variant>
        <vt:i4>5</vt:i4>
      </vt:variant>
      <vt:variant>
        <vt:lpwstr>https://helsinki.hu/en/wp-content/uploads/sites/2/2023/01/HUN_CSO_contribution_EC_RoL_Report_2023.pdf</vt:lpwstr>
      </vt:variant>
      <vt:variant>
        <vt:lpwstr/>
      </vt:variant>
      <vt:variant>
        <vt:i4>5570586</vt:i4>
      </vt:variant>
      <vt:variant>
        <vt:i4>306</vt:i4>
      </vt:variant>
      <vt:variant>
        <vt:i4>0</vt:i4>
      </vt:variant>
      <vt:variant>
        <vt:i4>5</vt:i4>
      </vt:variant>
      <vt:variant>
        <vt:lpwstr>https://helsinki.hu/en/wp-content/uploads/sites/2/2023/01/HUN_CSO_contribution_EC_RoL_Report_2023.pdf</vt:lpwstr>
      </vt:variant>
      <vt:variant>
        <vt:lpwstr/>
      </vt:variant>
      <vt:variant>
        <vt:i4>5570586</vt:i4>
      </vt:variant>
      <vt:variant>
        <vt:i4>303</vt:i4>
      </vt:variant>
      <vt:variant>
        <vt:i4>0</vt:i4>
      </vt:variant>
      <vt:variant>
        <vt:i4>5</vt:i4>
      </vt:variant>
      <vt:variant>
        <vt:lpwstr>https://helsinki.hu/en/wp-content/uploads/sites/2/2023/01/HUN_CSO_contribution_EC_RoL_Report_2023.pdf</vt:lpwstr>
      </vt:variant>
      <vt:variant>
        <vt:lpwstr/>
      </vt:variant>
      <vt:variant>
        <vt:i4>1835031</vt:i4>
      </vt:variant>
      <vt:variant>
        <vt:i4>300</vt:i4>
      </vt:variant>
      <vt:variant>
        <vt:i4>0</vt:i4>
      </vt:variant>
      <vt:variant>
        <vt:i4>5</vt:i4>
      </vt:variant>
      <vt:variant>
        <vt:lpwstr>https://transparency.hu/en/news/letter-to-the-european-commission-on-the-highway-concession-case/</vt:lpwstr>
      </vt:variant>
      <vt:variant>
        <vt:lpwstr/>
      </vt:variant>
      <vt:variant>
        <vt:i4>5570586</vt:i4>
      </vt:variant>
      <vt:variant>
        <vt:i4>297</vt:i4>
      </vt:variant>
      <vt:variant>
        <vt:i4>0</vt:i4>
      </vt:variant>
      <vt:variant>
        <vt:i4>5</vt:i4>
      </vt:variant>
      <vt:variant>
        <vt:lpwstr>https://helsinki.hu/en/wp-content/uploads/sites/2/2023/01/HUN_CSO_contribution_EC_RoL_Report_2023.pdf</vt:lpwstr>
      </vt:variant>
      <vt:variant>
        <vt:lpwstr/>
      </vt:variant>
      <vt:variant>
        <vt:i4>5570586</vt:i4>
      </vt:variant>
      <vt:variant>
        <vt:i4>294</vt:i4>
      </vt:variant>
      <vt:variant>
        <vt:i4>0</vt:i4>
      </vt:variant>
      <vt:variant>
        <vt:i4>5</vt:i4>
      </vt:variant>
      <vt:variant>
        <vt:lpwstr>https://helsinki.hu/en/wp-content/uploads/sites/2/2023/01/HUN_CSO_contribution_EC_RoL_Report_2023.pdf</vt:lpwstr>
      </vt:variant>
      <vt:variant>
        <vt:lpwstr/>
      </vt:variant>
      <vt:variant>
        <vt:i4>6094860</vt:i4>
      </vt:variant>
      <vt:variant>
        <vt:i4>291</vt:i4>
      </vt:variant>
      <vt:variant>
        <vt:i4>0</vt:i4>
      </vt:variant>
      <vt:variant>
        <vt:i4>5</vt:i4>
      </vt:variant>
      <vt:variant>
        <vt:lpwstr>https://net.jogtar.hu/jogszabaly?docid=A2200027.TV&amp;searchUrl=/gyorskereso</vt:lpwstr>
      </vt:variant>
      <vt:variant>
        <vt:lpwstr/>
      </vt:variant>
      <vt:variant>
        <vt:i4>5963799</vt:i4>
      </vt:variant>
      <vt:variant>
        <vt:i4>288</vt:i4>
      </vt:variant>
      <vt:variant>
        <vt:i4>0</vt:i4>
      </vt:variant>
      <vt:variant>
        <vt:i4>5</vt:i4>
      </vt:variant>
      <vt:variant>
        <vt:lpwstr>https://transparency.hu/wp-content/uploads/2022/11/HU_17_measures_assessment_17112022.pdf</vt:lpwstr>
      </vt:variant>
      <vt:variant>
        <vt:lpwstr/>
      </vt:variant>
      <vt:variant>
        <vt:i4>6291459</vt:i4>
      </vt:variant>
      <vt:variant>
        <vt:i4>285</vt:i4>
      </vt:variant>
      <vt:variant>
        <vt:i4>0</vt:i4>
      </vt:variant>
      <vt:variant>
        <vt:i4>5</vt:i4>
      </vt:variant>
      <vt:variant>
        <vt:lpwstr>https://www.europarl.europa.eu/thinktank/en/document/IPOL_BRI(2023)741581</vt:lpwstr>
      </vt:variant>
      <vt:variant>
        <vt:lpwstr/>
      </vt:variant>
      <vt:variant>
        <vt:i4>5570586</vt:i4>
      </vt:variant>
      <vt:variant>
        <vt:i4>282</vt:i4>
      </vt:variant>
      <vt:variant>
        <vt:i4>0</vt:i4>
      </vt:variant>
      <vt:variant>
        <vt:i4>5</vt:i4>
      </vt:variant>
      <vt:variant>
        <vt:lpwstr>https://helsinki.hu/en/wp-content/uploads/sites/2/2023/01/HUN_CSO_contribution_EC_RoL_Report_2023.pdf</vt:lpwstr>
      </vt:variant>
      <vt:variant>
        <vt:lpwstr/>
      </vt:variant>
      <vt:variant>
        <vt:i4>5308480</vt:i4>
      </vt:variant>
      <vt:variant>
        <vt:i4>279</vt:i4>
      </vt:variant>
      <vt:variant>
        <vt:i4>0</vt:i4>
      </vt:variant>
      <vt:variant>
        <vt:i4>5</vt:i4>
      </vt:variant>
      <vt:variant>
        <vt:lpwstr>https://commission.europa.eu/system/files/2022-07/40_1_193993_coun_chap_hungary_en.pdf</vt:lpwstr>
      </vt:variant>
      <vt:variant>
        <vt:lpwstr/>
      </vt:variant>
      <vt:variant>
        <vt:i4>3342397</vt:i4>
      </vt:variant>
      <vt:variant>
        <vt:i4>276</vt:i4>
      </vt:variant>
      <vt:variant>
        <vt:i4>0</vt:i4>
      </vt:variant>
      <vt:variant>
        <vt:i4>5</vt:i4>
      </vt:variant>
      <vt:variant>
        <vt:lpwstr>https://hvg.hu/gazdasag/20230427_schadl_gyorgy_lemondott_mbvk</vt:lpwstr>
      </vt:variant>
      <vt:variant>
        <vt:lpwstr/>
      </vt:variant>
      <vt:variant>
        <vt:i4>4259919</vt:i4>
      </vt:variant>
      <vt:variant>
        <vt:i4>273</vt:i4>
      </vt:variant>
      <vt:variant>
        <vt:i4>0</vt:i4>
      </vt:variant>
      <vt:variant>
        <vt:i4>5</vt:i4>
      </vt:variant>
      <vt:variant>
        <vt:lpwstr>https://index.hu/belfold/2023/02/12/schadl-gyorgy-volner-pal-korrupcio-vesztegetes-befolyassal-uzerkedes-vegrehajto/</vt:lpwstr>
      </vt:variant>
      <vt:variant>
        <vt:lpwstr/>
      </vt:variant>
      <vt:variant>
        <vt:i4>2949160</vt:i4>
      </vt:variant>
      <vt:variant>
        <vt:i4>270</vt:i4>
      </vt:variant>
      <vt:variant>
        <vt:i4>0</vt:i4>
      </vt:variant>
      <vt:variant>
        <vt:i4>5</vt:i4>
      </vt:variant>
      <vt:variant>
        <vt:lpwstr>https://www.transparency.org/en/cpi/2022/index/hun</vt:lpwstr>
      </vt:variant>
      <vt:variant>
        <vt:lpwstr/>
      </vt:variant>
      <vt:variant>
        <vt:i4>8061051</vt:i4>
      </vt:variant>
      <vt:variant>
        <vt:i4>267</vt:i4>
      </vt:variant>
      <vt:variant>
        <vt:i4>0</vt:i4>
      </vt:variant>
      <vt:variant>
        <vt:i4>5</vt:i4>
      </vt:variant>
      <vt:variant>
        <vt:lpwstr>https://images.transparencycdn.org/images/CPI2022-Report-Embargoed-until-6.01am-CET-31-JANUARY-2023.pdf</vt:lpwstr>
      </vt:variant>
      <vt:variant>
        <vt:lpwstr/>
      </vt:variant>
      <vt:variant>
        <vt:i4>6225984</vt:i4>
      </vt:variant>
      <vt:variant>
        <vt:i4>264</vt:i4>
      </vt:variant>
      <vt:variant>
        <vt:i4>0</vt:i4>
      </vt:variant>
      <vt:variant>
        <vt:i4>5</vt:i4>
      </vt:variant>
      <vt:variant>
        <vt:lpwstr>https://www.politico.eu/article/hungary-orban-corruption-transparency-international/</vt:lpwstr>
      </vt:variant>
      <vt:variant>
        <vt:lpwstr/>
      </vt:variant>
      <vt:variant>
        <vt:i4>5242953</vt:i4>
      </vt:variant>
      <vt:variant>
        <vt:i4>261</vt:i4>
      </vt:variant>
      <vt:variant>
        <vt:i4>0</vt:i4>
      </vt:variant>
      <vt:variant>
        <vt:i4>5</vt:i4>
      </vt:variant>
      <vt:variant>
        <vt:lpwstr>https://assembly.coe.int/CommitteeDocs/2013/NYFf%C4%B1nalpressfjdoc1e.pdf</vt:lpwstr>
      </vt:variant>
      <vt:variant>
        <vt:lpwstr/>
      </vt:variant>
      <vt:variant>
        <vt:i4>3473410</vt:i4>
      </vt:variant>
      <vt:variant>
        <vt:i4>258</vt:i4>
      </vt:variant>
      <vt:variant>
        <vt:i4>0</vt:i4>
      </vt:variant>
      <vt:variant>
        <vt:i4>5</vt:i4>
      </vt:variant>
      <vt:variant>
        <vt:lpwstr>https://commission.europa.eu/publications/2022-rule-law-report-communication-and-country-chapters_en</vt:lpwstr>
      </vt:variant>
      <vt:variant>
        <vt:lpwstr/>
      </vt:variant>
      <vt:variant>
        <vt:i4>5439496</vt:i4>
      </vt:variant>
      <vt:variant>
        <vt:i4>246</vt:i4>
      </vt:variant>
      <vt:variant>
        <vt:i4>0</vt:i4>
      </vt:variant>
      <vt:variant>
        <vt:i4>5</vt:i4>
      </vt:variant>
      <vt:variant>
        <vt:lpwstr>https://444.hu/2022/04/04/ervenytelen-lett-a-homofob-nepszavazas</vt:lpwstr>
      </vt:variant>
      <vt:variant>
        <vt:lpwstr/>
      </vt:variant>
      <vt:variant>
        <vt:i4>4194419</vt:i4>
      </vt:variant>
      <vt:variant>
        <vt:i4>243</vt:i4>
      </vt:variant>
      <vt:variant>
        <vt:i4>0</vt:i4>
      </vt:variant>
      <vt:variant>
        <vt:i4>5</vt:i4>
      </vt:variant>
      <vt:variant>
        <vt:lpwstr>http://public.mkab.hu/dev/dontesek.nsf/0/58c4c4bc8b4f2356c1258782005eda9c/$FILE/33_2021 AB hat%C3%A1rozat.pdf</vt:lpwstr>
      </vt:variant>
      <vt:variant>
        <vt:lpwstr/>
      </vt:variant>
      <vt:variant>
        <vt:i4>7733348</vt:i4>
      </vt:variant>
      <vt:variant>
        <vt:i4>240</vt:i4>
      </vt:variant>
      <vt:variant>
        <vt:i4>0</vt:i4>
      </vt:variant>
      <vt:variant>
        <vt:i4>5</vt:i4>
      </vt:variant>
      <vt:variant>
        <vt:lpwstr>http://public.mkab.hu/dev/dontesek.nsf/0/58C4C4BC8B4F2356C1258782005EDA9C?OpenDocument&amp;fbclid=IwAR2cYyIyds7f2ZuuyahZ-BZsaL49p-BjEhcFRADDdFnfoVJ2d4Gl3w1IJtE</vt:lpwstr>
      </vt:variant>
      <vt:variant>
        <vt:lpwstr/>
      </vt:variant>
      <vt:variant>
        <vt:i4>1572892</vt:i4>
      </vt:variant>
      <vt:variant>
        <vt:i4>225</vt:i4>
      </vt:variant>
      <vt:variant>
        <vt:i4>0</vt:i4>
      </vt:variant>
      <vt:variant>
        <vt:i4>5</vt:i4>
      </vt:variant>
      <vt:variant>
        <vt:lpwstr>https://ilga-europe.org/news/referendum-hungary-3-april-2022/</vt:lpwstr>
      </vt:variant>
      <vt:variant>
        <vt:lpwstr/>
      </vt:variant>
      <vt:variant>
        <vt:i4>2555965</vt:i4>
      </vt:variant>
      <vt:variant>
        <vt:i4>222</vt:i4>
      </vt:variant>
      <vt:variant>
        <vt:i4>0</vt:i4>
      </vt:variant>
      <vt:variant>
        <vt:i4>5</vt:i4>
      </vt:variant>
      <vt:variant>
        <vt:lpwstr>https://www.dw.com/en/hungary-approves-law-banning-lgbtq-content-for-minors/a-57909844</vt:lpwstr>
      </vt:variant>
      <vt:variant>
        <vt:lpwstr/>
      </vt:variant>
      <vt:variant>
        <vt:i4>6881318</vt:i4>
      </vt:variant>
      <vt:variant>
        <vt:i4>219</vt:i4>
      </vt:variant>
      <vt:variant>
        <vt:i4>0</vt:i4>
      </vt:variant>
      <vt:variant>
        <vt:i4>5</vt:i4>
      </vt:variant>
      <vt:variant>
        <vt:lpwstr>https://tasz.hu/cikkek/a-kormany-jogserto-nepszavazasi-kerdesei-miatt-birosaghoz-fordult-a-tasz</vt:lpwstr>
      </vt:variant>
      <vt:variant>
        <vt:lpwstr/>
      </vt:variant>
      <vt:variant>
        <vt:i4>917511</vt:i4>
      </vt:variant>
      <vt:variant>
        <vt:i4>216</vt:i4>
      </vt:variant>
      <vt:variant>
        <vt:i4>0</vt:i4>
      </vt:variant>
      <vt:variant>
        <vt:i4>5</vt:i4>
      </vt:variant>
      <vt:variant>
        <vt:lpwstr>https://alkotmanybirosag.hu/kozlemeny/nepszavazasi-kerdesek-hitelesitese-ugyeben-dontott-az-alkotmanybirosag/</vt:lpwstr>
      </vt:variant>
      <vt:variant>
        <vt:lpwstr/>
      </vt:variant>
      <vt:variant>
        <vt:i4>4194326</vt:i4>
      </vt:variant>
      <vt:variant>
        <vt:i4>213</vt:i4>
      </vt:variant>
      <vt:variant>
        <vt:i4>0</vt:i4>
      </vt:variant>
      <vt:variant>
        <vt:i4>5</vt:i4>
      </vt:variant>
      <vt:variant>
        <vt:lpwstr>https://helsinki.hu/en/wp-content/uploads/sites/2/2022/01/HUN_NGO_contribution_EC_RoL_Report_2022.pdf</vt:lpwstr>
      </vt:variant>
      <vt:variant>
        <vt:lpwstr/>
      </vt:variant>
      <vt:variant>
        <vt:i4>1769509</vt:i4>
      </vt:variant>
      <vt:variant>
        <vt:i4>210</vt:i4>
      </vt:variant>
      <vt:variant>
        <vt:i4>0</vt:i4>
      </vt:variant>
      <vt:variant>
        <vt:i4>5</vt:i4>
      </vt:variant>
      <vt:variant>
        <vt:lpwstr>https://abszemle.hu/a-biroi-dontesek-alkotmanybirosagi-felulvizsgalatanak-terjedelme-a-nemet-es-magyar-gyakorlatban/</vt:lpwstr>
      </vt:variant>
      <vt:variant>
        <vt:lpwstr>_ftn2</vt:lpwstr>
      </vt:variant>
      <vt:variant>
        <vt:i4>5308480</vt:i4>
      </vt:variant>
      <vt:variant>
        <vt:i4>207</vt:i4>
      </vt:variant>
      <vt:variant>
        <vt:i4>0</vt:i4>
      </vt:variant>
      <vt:variant>
        <vt:i4>5</vt:i4>
      </vt:variant>
      <vt:variant>
        <vt:lpwstr>https://commission.europa.eu/system/files/2022-07/40_1_193993_coun_chap_hungary_en.pdf</vt:lpwstr>
      </vt:variant>
      <vt:variant>
        <vt:lpwstr/>
      </vt:variant>
      <vt:variant>
        <vt:i4>1376275</vt:i4>
      </vt:variant>
      <vt:variant>
        <vt:i4>204</vt:i4>
      </vt:variant>
      <vt:variant>
        <vt:i4>0</vt:i4>
      </vt:variant>
      <vt:variant>
        <vt:i4>5</vt:i4>
      </vt:variant>
      <vt:variant>
        <vt:lpwstr>https://ezalenyeg.hu/orszagszerte/mok-a-korhazakban-gyogyitanak-ezt-kell-bemutatnia-a-sajtonak-57222</vt:lpwstr>
      </vt:variant>
      <vt:variant>
        <vt:lpwstr/>
      </vt:variant>
      <vt:variant>
        <vt:i4>5308480</vt:i4>
      </vt:variant>
      <vt:variant>
        <vt:i4>201</vt:i4>
      </vt:variant>
      <vt:variant>
        <vt:i4>0</vt:i4>
      </vt:variant>
      <vt:variant>
        <vt:i4>5</vt:i4>
      </vt:variant>
      <vt:variant>
        <vt:lpwstr>https://commission.europa.eu/system/files/2022-07/40_1_193993_coun_chap_hungary_en.pdf</vt:lpwstr>
      </vt:variant>
      <vt:variant>
        <vt:lpwstr/>
      </vt:variant>
      <vt:variant>
        <vt:i4>1245265</vt:i4>
      </vt:variant>
      <vt:variant>
        <vt:i4>198</vt:i4>
      </vt:variant>
      <vt:variant>
        <vt:i4>0</vt:i4>
      </vt:variant>
      <vt:variant>
        <vt:i4>5</vt:i4>
      </vt:variant>
      <vt:variant>
        <vt:lpwstr>https://blogs.eui.eu/constitutionalism-politics-working-group/dont-fooled-autocrats-hungarys-emergency-violates-rule-law/</vt:lpwstr>
      </vt:variant>
      <vt:variant>
        <vt:lpwstr/>
      </vt:variant>
      <vt:variant>
        <vt:i4>7995505</vt:i4>
      </vt:variant>
      <vt:variant>
        <vt:i4>195</vt:i4>
      </vt:variant>
      <vt:variant>
        <vt:i4>0</vt:i4>
      </vt:variant>
      <vt:variant>
        <vt:i4>5</vt:i4>
      </vt:variant>
      <vt:variant>
        <vt:lpwstr>https://net.jogtar.hu/jogszabaly?docid=a1100425.atv</vt:lpwstr>
      </vt:variant>
      <vt:variant>
        <vt:lpwstr/>
      </vt:variant>
      <vt:variant>
        <vt:i4>7995505</vt:i4>
      </vt:variant>
      <vt:variant>
        <vt:i4>192</vt:i4>
      </vt:variant>
      <vt:variant>
        <vt:i4>0</vt:i4>
      </vt:variant>
      <vt:variant>
        <vt:i4>5</vt:i4>
      </vt:variant>
      <vt:variant>
        <vt:lpwstr>https://net.jogtar.hu/jogszabaly?docid=a1100425.atv</vt:lpwstr>
      </vt:variant>
      <vt:variant>
        <vt:lpwstr/>
      </vt:variant>
      <vt:variant>
        <vt:i4>5308480</vt:i4>
      </vt:variant>
      <vt:variant>
        <vt:i4>189</vt:i4>
      </vt:variant>
      <vt:variant>
        <vt:i4>0</vt:i4>
      </vt:variant>
      <vt:variant>
        <vt:i4>5</vt:i4>
      </vt:variant>
      <vt:variant>
        <vt:lpwstr>https://commission.europa.eu/system/files/2022-07/40_1_193993_coun_chap_hungary_en.pdf</vt:lpwstr>
      </vt:variant>
      <vt:variant>
        <vt:lpwstr/>
      </vt:variant>
      <vt:variant>
        <vt:i4>4390917</vt:i4>
      </vt:variant>
      <vt:variant>
        <vt:i4>180</vt:i4>
      </vt:variant>
      <vt:variant>
        <vt:i4>0</vt:i4>
      </vt:variant>
      <vt:variant>
        <vt:i4>5</vt:i4>
      </vt:variant>
      <vt:variant>
        <vt:lpwstr>https://helsinki.hu/en/new-study-on-case-allocation-in-courts-current-system-does-not-prevent-abuse/</vt:lpwstr>
      </vt:variant>
      <vt:variant>
        <vt:lpwstr/>
      </vt:variant>
      <vt:variant>
        <vt:i4>458764</vt:i4>
      </vt:variant>
      <vt:variant>
        <vt:i4>171</vt:i4>
      </vt:variant>
      <vt:variant>
        <vt:i4>0</vt:i4>
      </vt:variant>
      <vt:variant>
        <vt:i4>5</vt:i4>
      </vt:variant>
      <vt:variant>
        <vt:lpwstr>https://orszagosbiroitanacs.hu/bemutatkozas/</vt:lpwstr>
      </vt:variant>
      <vt:variant>
        <vt:lpwstr/>
      </vt:variant>
      <vt:variant>
        <vt:i4>5898317</vt:i4>
      </vt:variant>
      <vt:variant>
        <vt:i4>168</vt:i4>
      </vt:variant>
      <vt:variant>
        <vt:i4>0</vt:i4>
      </vt:variant>
      <vt:variant>
        <vt:i4>5</vt:i4>
      </vt:variant>
      <vt:variant>
        <vt:lpwstr>https://njt.hu/jogszabaly/2011-161-00-00</vt:lpwstr>
      </vt:variant>
      <vt:variant>
        <vt:lpwstr/>
      </vt:variant>
      <vt:variant>
        <vt:i4>127</vt:i4>
      </vt:variant>
      <vt:variant>
        <vt:i4>159</vt:i4>
      </vt:variant>
      <vt:variant>
        <vt:i4>0</vt:i4>
      </vt:variant>
      <vt:variant>
        <vt:i4>5</vt:i4>
      </vt:variant>
      <vt:variant>
        <vt:lpwstr>https://commission.europa.eu/document/download/5ca0f861-b4d4-412d-bd7d-dbe3582af1c1_en?filename=40_1_193993_coun_chap_hungary_en.pdf</vt:lpwstr>
      </vt:variant>
      <vt:variant>
        <vt:lpwstr/>
      </vt:variant>
      <vt:variant>
        <vt:i4>2621480</vt:i4>
      </vt:variant>
      <vt:variant>
        <vt:i4>156</vt:i4>
      </vt:variant>
      <vt:variant>
        <vt:i4>0</vt:i4>
      </vt:variant>
      <vt:variant>
        <vt:i4>5</vt:i4>
      </vt:variant>
      <vt:variant>
        <vt:lpwstr>https://www.theguardian.com/world/2022/jan/28/hungarian-journalists-targeted-with-pegasus-spyware-to-sue-state</vt:lpwstr>
      </vt:variant>
      <vt:variant>
        <vt:lpwstr/>
      </vt:variant>
      <vt:variant>
        <vt:i4>8257657</vt:i4>
      </vt:variant>
      <vt:variant>
        <vt:i4>147</vt:i4>
      </vt:variant>
      <vt:variant>
        <vt:i4>0</vt:i4>
      </vt:variant>
      <vt:variant>
        <vt:i4>5</vt:i4>
      </vt:variant>
      <vt:variant>
        <vt:lpwstr>https://hudoc.echr.coe.int/eng?i=001-219501</vt:lpwstr>
      </vt:variant>
      <vt:variant>
        <vt:lpwstr/>
      </vt:variant>
      <vt:variant>
        <vt:i4>127</vt:i4>
      </vt:variant>
      <vt:variant>
        <vt:i4>132</vt:i4>
      </vt:variant>
      <vt:variant>
        <vt:i4>0</vt:i4>
      </vt:variant>
      <vt:variant>
        <vt:i4>5</vt:i4>
      </vt:variant>
      <vt:variant>
        <vt:lpwstr>https://commission.europa.eu/document/download/5ca0f861-b4d4-412d-bd7d-dbe3582af1c1_en?filename=40_1_193993_coun_chap_hungary_en.pdf</vt:lpwstr>
      </vt:variant>
      <vt:variant>
        <vt:lpwstr/>
      </vt:variant>
      <vt:variant>
        <vt:i4>6815790</vt:i4>
      </vt:variant>
      <vt:variant>
        <vt:i4>102</vt:i4>
      </vt:variant>
      <vt:variant>
        <vt:i4>0</vt:i4>
      </vt:variant>
      <vt:variant>
        <vt:i4>5</vt:i4>
      </vt:variant>
      <vt:variant>
        <vt:lpwstr>https://ganhri.org/paris-principles/</vt:lpwstr>
      </vt:variant>
      <vt:variant>
        <vt:lpwstr>:~:text=The%20Paris%20Principles%20('Principles%20Relating,are%20pluralism%2C%20independence%20and%20effectiveness.</vt:lpwstr>
      </vt:variant>
      <vt:variant>
        <vt:i4>127</vt:i4>
      </vt:variant>
      <vt:variant>
        <vt:i4>96</vt:i4>
      </vt:variant>
      <vt:variant>
        <vt:i4>0</vt:i4>
      </vt:variant>
      <vt:variant>
        <vt:i4>5</vt:i4>
      </vt:variant>
      <vt:variant>
        <vt:lpwstr>https://commission.europa.eu/document/download/5ca0f861-b4d4-412d-bd7d-dbe3582af1c1_en?filename=40_1_193993_coun_chap_hungary_en.pdf</vt:lpwstr>
      </vt:variant>
      <vt:variant>
        <vt:lpwstr/>
      </vt:variant>
      <vt:variant>
        <vt:i4>6422572</vt:i4>
      </vt:variant>
      <vt:variant>
        <vt:i4>84</vt:i4>
      </vt:variant>
      <vt:variant>
        <vt:i4>0</vt:i4>
      </vt:variant>
      <vt:variant>
        <vt:i4>5</vt:i4>
      </vt:variant>
      <vt:variant>
        <vt:lpwstr>https://tasz.hu/allasfoglalas-civilellenes-torveny-2021</vt:lpwstr>
      </vt:variant>
      <vt:variant>
        <vt:lpwstr/>
      </vt:variant>
      <vt:variant>
        <vt:i4>65623</vt:i4>
      </vt:variant>
      <vt:variant>
        <vt:i4>81</vt:i4>
      </vt:variant>
      <vt:variant>
        <vt:i4>0</vt:i4>
      </vt:variant>
      <vt:variant>
        <vt:i4>5</vt:i4>
      </vt:variant>
      <vt:variant>
        <vt:lpwstr>https://helsinki.hu/en/all-you-ever-wanted-to-know-about-what-happened-to-refugee-protection-in-hungary-since-2015-in-one-place/</vt:lpwstr>
      </vt:variant>
      <vt:variant>
        <vt:lpwstr/>
      </vt:variant>
      <vt:variant>
        <vt:i4>6815864</vt:i4>
      </vt:variant>
      <vt:variant>
        <vt:i4>78</vt:i4>
      </vt:variant>
      <vt:variant>
        <vt:i4>0</vt:i4>
      </vt:variant>
      <vt:variant>
        <vt:i4>5</vt:i4>
      </vt:variant>
      <vt:variant>
        <vt:lpwstr>https://njt.hu/jogszabaly/2020-30-00-00</vt:lpwstr>
      </vt:variant>
      <vt:variant>
        <vt:lpwstr/>
      </vt:variant>
      <vt:variant>
        <vt:i4>8257585</vt:i4>
      </vt:variant>
      <vt:variant>
        <vt:i4>75</vt:i4>
      </vt:variant>
      <vt:variant>
        <vt:i4>0</vt:i4>
      </vt:variant>
      <vt:variant>
        <vt:i4>5</vt:i4>
      </vt:variant>
      <vt:variant>
        <vt:lpwstr>https://helsinki.hu/wp-content/uploads/Assessment_NHRI_Hungary_18022021_HHC.pdf</vt:lpwstr>
      </vt:variant>
      <vt:variant>
        <vt:lpwstr/>
      </vt:variant>
      <vt:variant>
        <vt:i4>5308480</vt:i4>
      </vt:variant>
      <vt:variant>
        <vt:i4>72</vt:i4>
      </vt:variant>
      <vt:variant>
        <vt:i4>0</vt:i4>
      </vt:variant>
      <vt:variant>
        <vt:i4>5</vt:i4>
      </vt:variant>
      <vt:variant>
        <vt:lpwstr>https://commission.europa.eu/system/files/2022-07/40_1_193993_coun_chap_hungary_en.pdf</vt:lpwstr>
      </vt:variant>
      <vt:variant>
        <vt:lpwstr/>
      </vt:variant>
      <vt:variant>
        <vt:i4>8323173</vt:i4>
      </vt:variant>
      <vt:variant>
        <vt:i4>69</vt:i4>
      </vt:variant>
      <vt:variant>
        <vt:i4>0</vt:i4>
      </vt:variant>
      <vt:variant>
        <vt:i4>5</vt:i4>
      </vt:variant>
      <vt:variant>
        <vt:lpwstr>https://net.jogtar.hu/jogszabaly?docid=a1100151.tv</vt:lpwstr>
      </vt:variant>
      <vt:variant>
        <vt:lpwstr/>
      </vt:variant>
      <vt:variant>
        <vt:i4>6357106</vt:i4>
      </vt:variant>
      <vt:variant>
        <vt:i4>66</vt:i4>
      </vt:variant>
      <vt:variant>
        <vt:i4>0</vt:i4>
      </vt:variant>
      <vt:variant>
        <vt:i4>5</vt:i4>
      </vt:variant>
      <vt:variant>
        <vt:lpwstr>https://www.icj.org/wp-content/uploads/2002/03/Hatter-v.-Pepsi-Sziget-Budapest-2nd-and-3rd-District-Court-of-Justice-Hungary-Hungarian.pdf</vt:lpwstr>
      </vt:variant>
      <vt:variant>
        <vt:lpwstr/>
      </vt:variant>
      <vt:variant>
        <vt:i4>131084</vt:i4>
      </vt:variant>
      <vt:variant>
        <vt:i4>63</vt:i4>
      </vt:variant>
      <vt:variant>
        <vt:i4>0</vt:i4>
      </vt:variant>
      <vt:variant>
        <vt:i4>5</vt:i4>
      </vt:variant>
      <vt:variant>
        <vt:lpwstr>https://curia.europa.eu/juris/document/document.jsf?text=&amp;docid=272148&amp;pageIndex=0&amp;doclang=EN&amp;mode=lst&amp;dir=&amp;occ=first&amp;part=1&amp;cid=2439749</vt:lpwstr>
      </vt:variant>
      <vt:variant>
        <vt:lpwstr/>
      </vt:variant>
      <vt:variant>
        <vt:i4>5308480</vt:i4>
      </vt:variant>
      <vt:variant>
        <vt:i4>60</vt:i4>
      </vt:variant>
      <vt:variant>
        <vt:i4>0</vt:i4>
      </vt:variant>
      <vt:variant>
        <vt:i4>5</vt:i4>
      </vt:variant>
      <vt:variant>
        <vt:lpwstr>https://commission.europa.eu/system/files/2022-07/40_1_193993_coun_chap_hungary_en.pdf</vt:lpwstr>
      </vt:variant>
      <vt:variant>
        <vt:lpwstr/>
      </vt:variant>
      <vt:variant>
        <vt:i4>1835072</vt:i4>
      </vt:variant>
      <vt:variant>
        <vt:i4>57</vt:i4>
      </vt:variant>
      <vt:variant>
        <vt:i4>0</vt:i4>
      </vt:variant>
      <vt:variant>
        <vt:i4>5</vt:i4>
      </vt:variant>
      <vt:variant>
        <vt:lpwstr>https://curia.europa.eu/juris/liste.jsf?num=C-808/18</vt:lpwstr>
      </vt:variant>
      <vt:variant>
        <vt:lpwstr/>
      </vt:variant>
      <vt:variant>
        <vt:i4>6619176</vt:i4>
      </vt:variant>
      <vt:variant>
        <vt:i4>51</vt:i4>
      </vt:variant>
      <vt:variant>
        <vt:i4>0</vt:i4>
      </vt:variant>
      <vt:variant>
        <vt:i4>5</vt:i4>
      </vt:variant>
      <vt:variant>
        <vt:lpwstr>https://www.parlament.hu/irom42/00025/00025.pdf</vt:lpwstr>
      </vt:variant>
      <vt:variant>
        <vt:lpwstr/>
      </vt:variant>
      <vt:variant>
        <vt:i4>5570586</vt:i4>
      </vt:variant>
      <vt:variant>
        <vt:i4>48</vt:i4>
      </vt:variant>
      <vt:variant>
        <vt:i4>0</vt:i4>
      </vt:variant>
      <vt:variant>
        <vt:i4>5</vt:i4>
      </vt:variant>
      <vt:variant>
        <vt:lpwstr>https://helsinki.hu/en/wp-content/uploads/sites/2/2023/01/HUN_CSO_contribution_EC_RoL_Report_2023.pdf</vt:lpwstr>
      </vt:variant>
      <vt:variant>
        <vt:lpwstr/>
      </vt:variant>
      <vt:variant>
        <vt:i4>5570586</vt:i4>
      </vt:variant>
      <vt:variant>
        <vt:i4>45</vt:i4>
      </vt:variant>
      <vt:variant>
        <vt:i4>0</vt:i4>
      </vt:variant>
      <vt:variant>
        <vt:i4>5</vt:i4>
      </vt:variant>
      <vt:variant>
        <vt:lpwstr>https://helsinki.hu/en/wp-content/uploads/sites/2/2023/01/HUN_CSO_contribution_EC_RoL_Report_2023.pdf</vt:lpwstr>
      </vt:variant>
      <vt:variant>
        <vt:lpwstr/>
      </vt:variant>
      <vt:variant>
        <vt:i4>5308480</vt:i4>
      </vt:variant>
      <vt:variant>
        <vt:i4>42</vt:i4>
      </vt:variant>
      <vt:variant>
        <vt:i4>0</vt:i4>
      </vt:variant>
      <vt:variant>
        <vt:i4>5</vt:i4>
      </vt:variant>
      <vt:variant>
        <vt:lpwstr>https://commission.europa.eu/system/files/2022-07/40_1_193993_coun_chap_hungary_en.pdf</vt:lpwstr>
      </vt:variant>
      <vt:variant>
        <vt:lpwstr/>
      </vt:variant>
      <vt:variant>
        <vt:i4>4063353</vt:i4>
      </vt:variant>
      <vt:variant>
        <vt:i4>33</vt:i4>
      </vt:variant>
      <vt:variant>
        <vt:i4>0</vt:i4>
      </vt:variant>
      <vt:variant>
        <vt:i4>5</vt:i4>
      </vt:variant>
      <vt:variant>
        <vt:lpwstr>https://www.euractiv.com/section/elections/news/voter-tourism-new-hungarian-residency-law-raises-risk-of-electorate-manipulation-ngos-warn/</vt:lpwstr>
      </vt:variant>
      <vt:variant>
        <vt:lpwstr/>
      </vt:variant>
      <vt:variant>
        <vt:i4>7995441</vt:i4>
      </vt:variant>
      <vt:variant>
        <vt:i4>30</vt:i4>
      </vt:variant>
      <vt:variant>
        <vt:i4>0</vt:i4>
      </vt:variant>
      <vt:variant>
        <vt:i4>5</vt:i4>
      </vt:variant>
      <vt:variant>
        <vt:lpwstr>https://www.washingtonpost.com/politics/2022/04/06/orban-fidesz-autocratic-hungary-illiberal-democracy/</vt:lpwstr>
      </vt:variant>
      <vt:variant>
        <vt:lpwstr/>
      </vt:variant>
      <vt:variant>
        <vt:i4>6422625</vt:i4>
      </vt:variant>
      <vt:variant>
        <vt:i4>27</vt:i4>
      </vt:variant>
      <vt:variant>
        <vt:i4>0</vt:i4>
      </vt:variant>
      <vt:variant>
        <vt:i4>5</vt:i4>
      </vt:variant>
      <vt:variant>
        <vt:lpwstr>https://www.idea.int/answer/ans1303551903424613</vt:lpwstr>
      </vt:variant>
      <vt:variant>
        <vt:lpwstr/>
      </vt:variant>
      <vt:variant>
        <vt:i4>6488064</vt:i4>
      </vt:variant>
      <vt:variant>
        <vt:i4>24</vt:i4>
      </vt:variant>
      <vt:variant>
        <vt:i4>0</vt:i4>
      </vt:variant>
      <vt:variant>
        <vt:i4>5</vt:i4>
      </vt:variant>
      <vt:variant>
        <vt:lpwstr>https://www.constituteproject.org/constitution/Hungary_2016?lang=en</vt:lpwstr>
      </vt:variant>
      <vt:variant>
        <vt:lpwstr/>
      </vt:variant>
      <vt:variant>
        <vt:i4>5373956</vt:i4>
      </vt:variant>
      <vt:variant>
        <vt:i4>21</vt:i4>
      </vt:variant>
      <vt:variant>
        <vt:i4>0</vt:i4>
      </vt:variant>
      <vt:variant>
        <vt:i4>5</vt:i4>
      </vt:variant>
      <vt:variant>
        <vt:lpwstr>https://www.venice.coe.int/webforms/documents/default.aspx?pdffile=CDL-AD(2011)001-e</vt:lpwstr>
      </vt:variant>
      <vt:variant>
        <vt:lpwstr/>
      </vt:variant>
      <vt:variant>
        <vt:i4>65560</vt:i4>
      </vt:variant>
      <vt:variant>
        <vt:i4>18</vt:i4>
      </vt:variant>
      <vt:variant>
        <vt:i4>0</vt:i4>
      </vt:variant>
      <vt:variant>
        <vt:i4>5</vt:i4>
      </vt:variant>
      <vt:variant>
        <vt:lpwstr>https://lapa.princeton.edu/hosteddocs/amicus-to-vc-english-final.pdf</vt:lpwstr>
      </vt:variant>
      <vt:variant>
        <vt:lpwstr/>
      </vt:variant>
      <vt:variant>
        <vt:i4>3997810</vt:i4>
      </vt:variant>
      <vt:variant>
        <vt:i4>15</vt:i4>
      </vt:variant>
      <vt:variant>
        <vt:i4>0</vt:i4>
      </vt:variant>
      <vt:variant>
        <vt:i4>5</vt:i4>
      </vt:variant>
      <vt:variant>
        <vt:lpwstr>https://www.v-dem.net/documents/29/V-dem_democracyreport2023_lowres.pdf</vt:lpwstr>
      </vt:variant>
      <vt:variant>
        <vt:lpwstr/>
      </vt:variant>
      <vt:variant>
        <vt:i4>7929875</vt:i4>
      </vt:variant>
      <vt:variant>
        <vt:i4>12</vt:i4>
      </vt:variant>
      <vt:variant>
        <vt:i4>0</vt:i4>
      </vt:variant>
      <vt:variant>
        <vt:i4>5</vt:i4>
      </vt:variant>
      <vt:variant>
        <vt:lpwstr>https://freedomhouse.org/sites/default/files/2023-03/FIW_World_2023_DigtalPDF.pdf</vt:lpwstr>
      </vt:variant>
      <vt:variant>
        <vt:lpwstr/>
      </vt:variant>
      <vt:variant>
        <vt:i4>7929875</vt:i4>
      </vt:variant>
      <vt:variant>
        <vt:i4>9</vt:i4>
      </vt:variant>
      <vt:variant>
        <vt:i4>0</vt:i4>
      </vt:variant>
      <vt:variant>
        <vt:i4>5</vt:i4>
      </vt:variant>
      <vt:variant>
        <vt:lpwstr>https://freedomhouse.org/sites/default/files/2023-03/FIW_World_2023_DigtalPDF.pdf</vt:lpwstr>
      </vt:variant>
      <vt:variant>
        <vt:lpwstr/>
      </vt:variant>
      <vt:variant>
        <vt:i4>8323183</vt:i4>
      </vt:variant>
      <vt:variant>
        <vt:i4>6</vt:i4>
      </vt:variant>
      <vt:variant>
        <vt:i4>0</vt:i4>
      </vt:variant>
      <vt:variant>
        <vt:i4>5</vt:i4>
      </vt:variant>
      <vt:variant>
        <vt:lpwstr>https://www.journalofdemocracy.org/articles/on-democratic-backsliding/</vt:lpwstr>
      </vt:variant>
      <vt:variant>
        <vt:lpwstr/>
      </vt:variant>
      <vt:variant>
        <vt:i4>5308480</vt:i4>
      </vt:variant>
      <vt:variant>
        <vt:i4>3</vt:i4>
      </vt:variant>
      <vt:variant>
        <vt:i4>0</vt:i4>
      </vt:variant>
      <vt:variant>
        <vt:i4>5</vt:i4>
      </vt:variant>
      <vt:variant>
        <vt:lpwstr>https://commission.europa.eu/system/files/2022-07/40_1_193993_coun_chap_hungary_en.pdf</vt:lpwstr>
      </vt:variant>
      <vt:variant>
        <vt:lpwstr/>
      </vt:variant>
      <vt:variant>
        <vt:i4>3538951</vt:i4>
      </vt:variant>
      <vt:variant>
        <vt:i4>0</vt:i4>
      </vt:variant>
      <vt:variant>
        <vt:i4>0</vt:i4>
      </vt:variant>
      <vt:variant>
        <vt:i4>5</vt:i4>
      </vt:variant>
      <vt:variant>
        <vt:lpwstr>https://www.parlament.hu/aktual/srk_trv/bevezetes</vt:lpwstr>
      </vt:variant>
      <vt:variant>
        <vt:lpwstr/>
      </vt:variant>
      <vt:variant>
        <vt:i4>1441797</vt:i4>
      </vt:variant>
      <vt:variant>
        <vt:i4>0</vt:i4>
      </vt:variant>
      <vt:variant>
        <vt:i4>0</vt:i4>
      </vt:variant>
      <vt:variant>
        <vt:i4>5</vt:i4>
      </vt:variant>
      <vt:variant>
        <vt:lpwstr>https://www.democratic-erosion.com/2022/04/20/viktor-orbans-hungary-a-democracy-backsliding/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Véronique Bruggeman</dc:creator>
  <cp:keywords/>
  <cp:lastModifiedBy>Milieu</cp:lastModifiedBy>
  <cp:revision>3</cp:revision>
  <cp:lastPrinted>2020-10-22T14:55:00Z</cp:lastPrinted>
  <dcterms:created xsi:type="dcterms:W3CDTF">2023-05-03T13:31:00Z</dcterms:created>
  <dcterms:modified xsi:type="dcterms:W3CDTF">2023-05-03T13:39:00Z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0x0101006D45ADA78718DD4B8F6BED765056F55A</vt:lpwstr>
  </property>
</Properties>
</file>