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73DA" w14:textId="77777777" w:rsidR="00C41866" w:rsidRPr="006D3D57" w:rsidRDefault="00C41866" w:rsidP="00C41866">
      <w:pPr>
        <w:pStyle w:val="MBT"/>
        <w:rPr>
          <w:rFonts w:eastAsia="Calibri" w:cs="Arial"/>
        </w:rPr>
        <w:sectPr w:rsidR="00C41866" w:rsidRPr="006D3D57" w:rsidSect="00C41866">
          <w:footerReference w:type="first" r:id="rId8"/>
          <w:pgSz w:w="11906" w:h="16838" w:code="9"/>
          <w:pgMar w:top="720" w:right="720" w:bottom="720" w:left="720" w:header="709" w:footer="709" w:gutter="0"/>
          <w:cols w:space="708"/>
          <w:docGrid w:linePitch="360"/>
        </w:sectPr>
      </w:pPr>
      <w:r w:rsidRPr="006D3D57">
        <w:rPr>
          <w:rFonts w:eastAsia="Calibri" w:cs="Arial"/>
          <w:noProof/>
          <w:lang w:eastAsia="en-US"/>
        </w:rPr>
        <mc:AlternateContent>
          <mc:Choice Requires="wpg">
            <w:drawing>
              <wp:anchor distT="0" distB="0" distL="114300" distR="114300" simplePos="0" relativeHeight="251662336" behindDoc="0" locked="0" layoutInCell="1" allowOverlap="1" wp14:anchorId="5FC9B65E" wp14:editId="4620DF43">
                <wp:simplePos x="0" y="0"/>
                <wp:positionH relativeFrom="column">
                  <wp:posOffset>69850</wp:posOffset>
                </wp:positionH>
                <wp:positionV relativeFrom="paragraph">
                  <wp:posOffset>76200</wp:posOffset>
                </wp:positionV>
                <wp:extent cx="6698615" cy="3591774"/>
                <wp:effectExtent l="0" t="0" r="26035" b="8890"/>
                <wp:wrapNone/>
                <wp:docPr id="25" name="Group 25"/>
                <wp:cNvGraphicFramePr/>
                <a:graphic xmlns:a="http://schemas.openxmlformats.org/drawingml/2006/main">
                  <a:graphicData uri="http://schemas.microsoft.com/office/word/2010/wordprocessingGroup">
                    <wpg:wgp>
                      <wpg:cNvGrpSpPr/>
                      <wpg:grpSpPr>
                        <a:xfrm>
                          <a:off x="0" y="0"/>
                          <a:ext cx="6698615" cy="3591774"/>
                          <a:chOff x="0" y="0"/>
                          <a:chExt cx="5319423" cy="3591774"/>
                        </a:xfrm>
                      </wpg:grpSpPr>
                      <wps:wsp>
                        <wps:cNvPr id="18" name="Straight Connector 5"/>
                        <wps:cNvCnPr>
                          <a:cxnSpLocks noChangeShapeType="1"/>
                        </wps:cNvCnPr>
                        <wps:spPr bwMode="auto">
                          <a:xfrm flipV="1">
                            <a:off x="5319423" y="39757"/>
                            <a:ext cx="0" cy="2825262"/>
                          </a:xfrm>
                          <a:prstGeom prst="line">
                            <a:avLst/>
                          </a:prstGeom>
                          <a:noFill/>
                          <a:ln w="38100" algn="ctr">
                            <a:solidFill>
                              <a:schemeClr val="bg2"/>
                            </a:solidFill>
                            <a:round/>
                            <a:headEnd/>
                            <a:tailEnd/>
                          </a:ln>
                          <a:extLst>
                            <a:ext uri="{909E8E84-426E-40DD-AFC4-6F175D3DCCD1}">
                              <a14:hiddenFill xmlns:a14="http://schemas.microsoft.com/office/drawing/2010/main">
                                <a:noFill/>
                              </a14:hiddenFill>
                            </a:ext>
                          </a:extLst>
                        </wps:spPr>
                        <wps:bodyPr/>
                      </wps:wsp>
                      <wps:wsp>
                        <wps:cNvPr id="19" name="Text Box 6"/>
                        <wps:cNvSpPr txBox="1">
                          <a:spLocks noChangeArrowheads="1"/>
                        </wps:cNvSpPr>
                        <wps:spPr bwMode="auto">
                          <a:xfrm>
                            <a:off x="0" y="0"/>
                            <a:ext cx="5057140" cy="2360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A8982" w14:textId="38E06CDF" w:rsidR="00C41866" w:rsidRDefault="00401539" w:rsidP="00C41866">
                              <w:pPr>
                                <w:jc w:val="right"/>
                                <w:rPr>
                                  <w:rFonts w:ascii="Arial" w:hAnsi="Arial" w:cs="Arial"/>
                                  <w:b/>
                                  <w:sz w:val="52"/>
                                  <w:szCs w:val="56"/>
                                </w:rPr>
                              </w:pPr>
                              <w:r w:rsidRPr="00401539">
                                <w:rPr>
                                  <w:rFonts w:ascii="Arial" w:hAnsi="Arial" w:cs="Arial"/>
                                  <w:b/>
                                  <w:sz w:val="52"/>
                                  <w:szCs w:val="56"/>
                                </w:rPr>
                                <w:t>Use of the rule of law legal instruments in the face of mounting dissensus at a national leve</w:t>
                              </w:r>
                              <w:r w:rsidR="00740756">
                                <w:rPr>
                                  <w:rFonts w:ascii="Arial" w:hAnsi="Arial" w:cs="Arial"/>
                                  <w:b/>
                                  <w:sz w:val="52"/>
                                  <w:szCs w:val="56"/>
                                </w:rPr>
                                <w:t>l</w:t>
                              </w:r>
                            </w:p>
                            <w:p w14:paraId="14BD6787" w14:textId="4D5A22E5" w:rsidR="00AD3D7D" w:rsidRPr="00937722" w:rsidRDefault="00937722" w:rsidP="00937722">
                              <w:pPr>
                                <w:spacing w:before="120"/>
                                <w:jc w:val="right"/>
                                <w:rPr>
                                  <w:rFonts w:ascii="Arial" w:hAnsi="Arial" w:cs="Arial"/>
                                  <w:b/>
                                  <w:sz w:val="52"/>
                                  <w:szCs w:val="56"/>
                                  <w:lang w:val="de-DE"/>
                                </w:rPr>
                              </w:pPr>
                              <w:r w:rsidRPr="007E2DFE">
                                <w:rPr>
                                  <w:rFonts w:ascii="Arial" w:hAnsi="Arial" w:cs="Arial"/>
                                  <w:b/>
                                  <w:sz w:val="52"/>
                                  <w:szCs w:val="56"/>
                                </w:rPr>
                                <w:t>ITALY</w:t>
                              </w:r>
                            </w:p>
                          </w:txbxContent>
                        </wps:txbx>
                        <wps:bodyPr rot="0" vert="horz" wrap="square" lIns="91440" tIns="45720" rIns="91440" bIns="45720" anchor="t" anchorCtr="0" upright="1">
                          <a:noAutofit/>
                        </wps:bodyPr>
                      </wps:wsp>
                      <wps:wsp>
                        <wps:cNvPr id="20" name="Text Box 7"/>
                        <wps:cNvSpPr txBox="1">
                          <a:spLocks noChangeArrowheads="1"/>
                        </wps:cNvSpPr>
                        <wps:spPr bwMode="auto">
                          <a:xfrm>
                            <a:off x="174927" y="1816099"/>
                            <a:ext cx="4884779" cy="1133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9FAE5" w14:textId="1EA16C13" w:rsidR="00C41866" w:rsidRPr="00183C02" w:rsidRDefault="00151C69" w:rsidP="00C41866">
                              <w:pPr>
                                <w:jc w:val="right"/>
                                <w:rPr>
                                  <w:rFonts w:ascii="Arial" w:hAnsi="Arial" w:cs="Arial"/>
                                  <w:b/>
                                  <w:i/>
                                  <w:sz w:val="36"/>
                                  <w:szCs w:val="40"/>
                                </w:rPr>
                              </w:pPr>
                              <w:r>
                                <w:rPr>
                                  <w:rFonts w:ascii="Arial" w:hAnsi="Arial" w:cs="Arial"/>
                                  <w:b/>
                                  <w:i/>
                                  <w:sz w:val="36"/>
                                  <w:szCs w:val="40"/>
                                </w:rPr>
                                <w:t xml:space="preserve">RULE OF LAW INSTRUMENTS </w:t>
                              </w:r>
                              <w:r w:rsidR="00183C02" w:rsidRPr="00183C02">
                                <w:rPr>
                                  <w:rFonts w:ascii="Arial" w:hAnsi="Arial" w:cs="Arial"/>
                                  <w:b/>
                                  <w:i/>
                                  <w:sz w:val="36"/>
                                  <w:szCs w:val="40"/>
                                </w:rPr>
                                <w:t>RESPONDING TO EMERGING DISSENSUS</w:t>
                              </w:r>
                            </w:p>
                          </w:txbxContent>
                        </wps:txbx>
                        <wps:bodyPr rot="0" vert="horz" wrap="square" lIns="91440" tIns="45720" rIns="91440" bIns="45720" anchor="t" anchorCtr="0" upright="1">
                          <a:noAutofit/>
                        </wps:bodyPr>
                      </wps:wsp>
                      <wps:wsp>
                        <wps:cNvPr id="24" name="Text Box 7"/>
                        <wps:cNvSpPr txBox="1">
                          <a:spLocks noChangeArrowheads="1"/>
                        </wps:cNvSpPr>
                        <wps:spPr bwMode="auto">
                          <a:xfrm>
                            <a:off x="166977" y="3069204"/>
                            <a:ext cx="4884779" cy="52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247EB5" w14:textId="32494FDD" w:rsidR="00C41866" w:rsidRPr="006D3D57" w:rsidRDefault="00864AF5" w:rsidP="00C41866">
                              <w:pPr>
                                <w:jc w:val="right"/>
                                <w:rPr>
                                  <w:rFonts w:ascii="Arial" w:hAnsi="Arial" w:cs="Arial"/>
                                  <w:i/>
                                </w:rPr>
                              </w:pPr>
                              <w:r w:rsidRPr="00864AF5">
                                <w:rPr>
                                  <w:rFonts w:ascii="Arial" w:hAnsi="Arial" w:cs="Arial"/>
                                  <w:i/>
                                </w:rPr>
                                <w:t>Project N°101061621</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FC9B65E" id="Group 25" o:spid="_x0000_s1026" style="position:absolute;left:0;text-align:left;margin-left:5.5pt;margin-top:6pt;width:527.45pt;height:282.8pt;z-index:251662336;mso-width-relative:margin" coordsize="53194,35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">
                <v:line id="Straight Connector 5" o:spid="_x0000_s1027" style="position:absolute;flip:y;visibility:visible;mso-wrap-style:square" from="53194,397" to="53194,28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" strokecolor="#7ab800 [3214]" strokeweight="3pt"/>
                <v:shapetype id="_x0000_t202" coordsize="21600,21600" o:spt="202" path="m,l,21600r21600,l21600,xe">
                  <v:stroke joinstyle="miter"/>
                  <v:path gradientshapeok="t" o:connecttype="rect"/>
                </v:shapetype>
                <v:shape id="Text Box 6" o:spid="_x0000_s1028" type="#_x0000_t202" style="position:absolute;width:50571;height:23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2A2A8982" w14:textId="38E06CDF" w:rsidR="00C41866" w:rsidRDefault="00401539" w:rsidP="00C41866">
                        <w:pPr>
                          <w:jc w:val="right"/>
                          <w:rPr>
                            <w:rFonts w:ascii="Arial" w:hAnsi="Arial" w:cs="Arial"/>
                            <w:b/>
                            <w:sz w:val="52"/>
                            <w:szCs w:val="56"/>
                          </w:rPr>
                        </w:pPr>
                        <w:r w:rsidRPr="00401539">
                          <w:rPr>
                            <w:rFonts w:ascii="Arial" w:hAnsi="Arial" w:cs="Arial"/>
                            <w:b/>
                            <w:sz w:val="52"/>
                            <w:szCs w:val="56"/>
                          </w:rPr>
                          <w:t>Use of the rule of law legal instruments in the face of mounting dissensus at a national leve</w:t>
                        </w:r>
                        <w:r w:rsidR="00740756">
                          <w:rPr>
                            <w:rFonts w:ascii="Arial" w:hAnsi="Arial" w:cs="Arial"/>
                            <w:b/>
                            <w:sz w:val="52"/>
                            <w:szCs w:val="56"/>
                          </w:rPr>
                          <w:t>l</w:t>
                        </w:r>
                      </w:p>
                      <w:p w14:paraId="14BD6787" w14:textId="4D5A22E5" w:rsidR="00AD3D7D" w:rsidRPr="00937722" w:rsidRDefault="00937722" w:rsidP="00937722">
                        <w:pPr>
                          <w:spacing w:before="120"/>
                          <w:jc w:val="right"/>
                          <w:rPr>
                            <w:rFonts w:ascii="Arial" w:hAnsi="Arial" w:cs="Arial"/>
                            <w:b/>
                            <w:sz w:val="52"/>
                            <w:szCs w:val="56"/>
                            <w:lang w:val="de-DE"/>
                          </w:rPr>
                        </w:pPr>
                        <w:r w:rsidRPr="007E2DFE">
                          <w:rPr>
                            <w:rFonts w:ascii="Arial" w:hAnsi="Arial" w:cs="Arial"/>
                            <w:b/>
                            <w:sz w:val="52"/>
                            <w:szCs w:val="56"/>
                          </w:rPr>
                          <w:t>ITALY</w:t>
                        </w:r>
                      </w:p>
                    </w:txbxContent>
                  </v:textbox>
                </v:shape>
                <v:shape id="Text Box 7" o:spid="_x0000_s1029" type="#_x0000_t202" style="position:absolute;left:1749;top:18160;width:48848;height:1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3CE9FAE5" w14:textId="1EA16C13" w:rsidR="00C41866" w:rsidRPr="00183C02" w:rsidRDefault="00151C69" w:rsidP="00C41866">
                        <w:pPr>
                          <w:jc w:val="right"/>
                          <w:rPr>
                            <w:rFonts w:ascii="Arial" w:hAnsi="Arial" w:cs="Arial"/>
                            <w:b/>
                            <w:i/>
                            <w:sz w:val="36"/>
                            <w:szCs w:val="40"/>
                          </w:rPr>
                        </w:pPr>
                        <w:r>
                          <w:rPr>
                            <w:rFonts w:ascii="Arial" w:hAnsi="Arial" w:cs="Arial"/>
                            <w:b/>
                            <w:i/>
                            <w:sz w:val="36"/>
                            <w:szCs w:val="40"/>
                          </w:rPr>
                          <w:t xml:space="preserve">RULE OF LAW INSTRUMENTS </w:t>
                        </w:r>
                        <w:r w:rsidR="00183C02" w:rsidRPr="00183C02">
                          <w:rPr>
                            <w:rFonts w:ascii="Arial" w:hAnsi="Arial" w:cs="Arial"/>
                            <w:b/>
                            <w:i/>
                            <w:sz w:val="36"/>
                            <w:szCs w:val="40"/>
                          </w:rPr>
                          <w:t>RESPONDING TO EMERGING DISSENSUS</w:t>
                        </w:r>
                      </w:p>
                    </w:txbxContent>
                  </v:textbox>
                </v:shape>
                <v:shape id="Text Box 7" o:spid="_x0000_s1030" type="#_x0000_t202" style="position:absolute;left:1669;top:30692;width:48848;height:5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14247EB5" w14:textId="32494FDD" w:rsidR="00C41866" w:rsidRPr="006D3D57" w:rsidRDefault="00864AF5" w:rsidP="00C41866">
                        <w:pPr>
                          <w:jc w:val="right"/>
                          <w:rPr>
                            <w:rFonts w:ascii="Arial" w:hAnsi="Arial" w:cs="Arial"/>
                            <w:i/>
                          </w:rPr>
                        </w:pPr>
                        <w:r w:rsidRPr="00864AF5">
                          <w:rPr>
                            <w:rFonts w:ascii="Arial" w:hAnsi="Arial" w:cs="Arial"/>
                            <w:i/>
                          </w:rPr>
                          <w:t>Project N°101061621</w:t>
                        </w:r>
                      </w:p>
                    </w:txbxContent>
                  </v:textbox>
                </v:shape>
              </v:group>
            </w:pict>
          </mc:Fallback>
        </mc:AlternateContent>
      </w:r>
      <w:r w:rsidRPr="006D3D57">
        <w:rPr>
          <w:rFonts w:eastAsia="Calibri" w:cs="Arial"/>
          <w:noProof/>
          <w:lang w:eastAsia="en-US"/>
        </w:rPr>
        <w:drawing>
          <wp:anchor distT="0" distB="0" distL="114300" distR="114300" simplePos="0" relativeHeight="251661312" behindDoc="1" locked="1" layoutInCell="1" allowOverlap="1" wp14:anchorId="621BC793" wp14:editId="5EC44378">
            <wp:simplePos x="0" y="0"/>
            <wp:positionH relativeFrom="column">
              <wp:posOffset>-76200</wp:posOffset>
            </wp:positionH>
            <wp:positionV relativeFrom="page">
              <wp:posOffset>3776980</wp:posOffset>
            </wp:positionV>
            <wp:extent cx="6858000" cy="5349240"/>
            <wp:effectExtent l="0" t="0" r="0" b="3810"/>
            <wp:wrapNone/>
            <wp:docPr id="16" name="Picture 2" descr="Hexagon - enviro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xagon - environme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5349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D57">
        <w:rPr>
          <w:rFonts w:eastAsia="Calibri" w:cs="Arial"/>
          <w:noProof/>
          <w:lang w:eastAsia="en-US"/>
        </w:rPr>
        <w:drawing>
          <wp:anchor distT="0" distB="0" distL="114300" distR="114300" simplePos="0" relativeHeight="251660288" behindDoc="0" locked="1" layoutInCell="1" allowOverlap="1" wp14:anchorId="2A5D301B" wp14:editId="540B49A8">
            <wp:simplePos x="0" y="0"/>
            <wp:positionH relativeFrom="column">
              <wp:posOffset>5307330</wp:posOffset>
            </wp:positionH>
            <wp:positionV relativeFrom="page">
              <wp:posOffset>8688070</wp:posOffset>
            </wp:positionV>
            <wp:extent cx="1486800" cy="1483200"/>
            <wp:effectExtent l="19050" t="19050" r="18415" b="22225"/>
            <wp:wrapNone/>
            <wp:docPr id="14" name="Picture 0" descr="LAST-LOGO- with law-policy-i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ST-LOGO- with law-policy-in-whit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6800" cy="1483200"/>
                    </a:xfrm>
                    <a:prstGeom prst="rect">
                      <a:avLst/>
                    </a:prstGeom>
                    <a:noFill/>
                    <a:ln w="6350">
                      <a:solidFill>
                        <a:srgbClr val="0D0D0D"/>
                      </a:solidFill>
                      <a:miter lim="800000"/>
                      <a:headEnd/>
                      <a:tailEnd/>
                    </a:ln>
                  </pic:spPr>
                </pic:pic>
              </a:graphicData>
            </a:graphic>
            <wp14:sizeRelH relativeFrom="page">
              <wp14:pctWidth>0</wp14:pctWidth>
            </wp14:sizeRelH>
            <wp14:sizeRelV relativeFrom="page">
              <wp14:pctHeight>0</wp14:pctHeight>
            </wp14:sizeRelV>
          </wp:anchor>
        </w:drawing>
      </w:r>
      <w:r w:rsidRPr="006D3D57">
        <w:rPr>
          <w:rFonts w:eastAsia="Calibri" w:cs="Arial"/>
          <w:noProof/>
          <w:lang w:eastAsia="en-US"/>
        </w:rPr>
        <mc:AlternateContent>
          <mc:Choice Requires="wps">
            <w:drawing>
              <wp:anchor distT="0" distB="0" distL="114300" distR="114300" simplePos="0" relativeHeight="251659264" behindDoc="0" locked="1" layoutInCell="1" allowOverlap="1" wp14:anchorId="5015A7AB" wp14:editId="0312728E">
                <wp:simplePos x="0" y="0"/>
                <wp:positionH relativeFrom="column">
                  <wp:posOffset>-152400</wp:posOffset>
                </wp:positionH>
                <wp:positionV relativeFrom="page">
                  <wp:posOffset>9829800</wp:posOffset>
                </wp:positionV>
                <wp:extent cx="2057400" cy="27813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553F2" w14:textId="1398BA6F" w:rsidR="00C41866" w:rsidRPr="00C41866" w:rsidRDefault="007E2DFE" w:rsidP="00C41866">
                            <w:pPr>
                              <w:ind w:right="-126"/>
                              <w:rPr>
                                <w:rFonts w:ascii="Arial" w:hAnsi="Arial" w:cs="Arial"/>
                              </w:rPr>
                            </w:pPr>
                            <w:r>
                              <w:rPr>
                                <w:rFonts w:ascii="Arial" w:hAnsi="Arial" w:cs="Arial"/>
                              </w:rPr>
                              <w:t>Marc</w:t>
                            </w:r>
                            <w:r w:rsidR="004C640E">
                              <w:rPr>
                                <w:rFonts w:ascii="Arial" w:hAnsi="Arial" w:cs="Arial"/>
                              </w:rPr>
                              <w:t>h</w:t>
                            </w:r>
                            <w:r>
                              <w:rPr>
                                <w:rFonts w:ascii="Arial" w:hAnsi="Arial" w:cs="Arial"/>
                              </w:rPr>
                              <w:t xml:space="preserve"> 2023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15A7AB" id="Text Box 13" o:spid="_x0000_s1031" type="#_x0000_t202" style="position:absolute;left:0;text-align:left;margin-left:-12pt;margin-top:774pt;width:162pt;height:21.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" stroked="f">
                <v:textbox style="mso-fit-shape-to-text:t">
                  <w:txbxContent>
                    <w:p w14:paraId="293553F2" w14:textId="1398BA6F" w:rsidR="00C41866" w:rsidRPr="00C41866" w:rsidRDefault="007E2DFE" w:rsidP="00C41866">
                      <w:pPr>
                        <w:ind w:right="-126"/>
                        <w:rPr>
                          <w:rFonts w:ascii="Arial" w:hAnsi="Arial" w:cs="Arial"/>
                        </w:rPr>
                      </w:pPr>
                      <w:r>
                        <w:rPr>
                          <w:rFonts w:ascii="Arial" w:hAnsi="Arial" w:cs="Arial"/>
                        </w:rPr>
                        <w:t>Marc</w:t>
                      </w:r>
                      <w:r w:rsidR="004C640E">
                        <w:rPr>
                          <w:rFonts w:ascii="Arial" w:hAnsi="Arial" w:cs="Arial"/>
                        </w:rPr>
                        <w:t>h</w:t>
                      </w:r>
                      <w:r>
                        <w:rPr>
                          <w:rFonts w:ascii="Arial" w:hAnsi="Arial" w:cs="Arial"/>
                        </w:rPr>
                        <w:t xml:space="preserve"> 2023</w:t>
                      </w:r>
                    </w:p>
                  </w:txbxContent>
                </v:textbox>
                <w10:wrap anchory="page"/>
                <w10:anchorlock/>
              </v:shape>
            </w:pict>
          </mc:Fallback>
        </mc:AlternateContent>
      </w:r>
    </w:p>
    <w:p w14:paraId="65D7674E" w14:textId="77777777" w:rsidR="00C41866" w:rsidRPr="006D3D57" w:rsidRDefault="00C41866" w:rsidP="00C41866">
      <w:pPr>
        <w:rPr>
          <w:rFonts w:ascii="Arial" w:hAnsi="Arial" w:cs="Arial"/>
          <w:b/>
          <w:u w:val="single"/>
        </w:rPr>
      </w:pPr>
    </w:p>
    <w:p w14:paraId="13A317F2" w14:textId="77777777" w:rsidR="00C41866" w:rsidRPr="006D3D57" w:rsidRDefault="00C41866" w:rsidP="00C41866">
      <w:pPr>
        <w:pStyle w:val="BlockText"/>
        <w:rPr>
          <w:rFonts w:ascii="Arial" w:hAnsi="Arial" w:cs="Arial"/>
          <w:sz w:val="22"/>
          <w:lang w:val="en-GB"/>
        </w:rPr>
        <w:sectPr w:rsidR="00C41866" w:rsidRPr="006D3D57" w:rsidSect="00351E21">
          <w:type w:val="continuous"/>
          <w:pgSz w:w="11906" w:h="16838" w:code="9"/>
          <w:pgMar w:top="1418" w:right="1418" w:bottom="1418" w:left="1418" w:header="709" w:footer="709" w:gutter="0"/>
          <w:cols w:space="708"/>
          <w:docGrid w:linePitch="360"/>
        </w:sectPr>
      </w:pPr>
    </w:p>
    <w:tbl>
      <w:tblPr>
        <w:tblpPr w:leftFromText="181" w:rightFromText="181" w:vertAnchor="page" w:tblpY="12180"/>
        <w:tblOverlap w:val="never"/>
        <w:tblW w:w="0" w:type="auto"/>
        <w:tblBorders>
          <w:top w:val="single" w:sz="12" w:space="0" w:color="EAF1DD" w:themeColor="text2"/>
          <w:left w:val="single" w:sz="12" w:space="0" w:color="EAF1DD" w:themeColor="text2"/>
          <w:bottom w:val="single" w:sz="12" w:space="0" w:color="EAF1DD" w:themeColor="text2"/>
          <w:right w:val="single" w:sz="12" w:space="0" w:color="EAF1DD" w:themeColor="text2"/>
          <w:insideH w:val="single" w:sz="12" w:space="0" w:color="EAF1DD" w:themeColor="text2"/>
          <w:insideV w:val="single" w:sz="12" w:space="0" w:color="EAF1DD" w:themeColor="text2"/>
        </w:tblBorders>
        <w:tblLayout w:type="fixed"/>
        <w:tblLook w:val="01E0" w:firstRow="1" w:lastRow="1" w:firstColumn="1" w:lastColumn="1" w:noHBand="0" w:noVBand="0"/>
      </w:tblPr>
      <w:tblGrid>
        <w:gridCol w:w="9286"/>
      </w:tblGrid>
      <w:tr w:rsidR="00C41866" w:rsidRPr="00151C69" w14:paraId="533B2183" w14:textId="77777777" w:rsidTr="000C63E0">
        <w:tc>
          <w:tcPr>
            <w:tcW w:w="9286" w:type="dxa"/>
            <w:vAlign w:val="bottom"/>
          </w:tcPr>
          <w:p w14:paraId="02F688E0" w14:textId="77777777" w:rsidR="000C63E0" w:rsidRDefault="000C63E0" w:rsidP="00C7483D">
            <w:pPr>
              <w:pStyle w:val="MBT"/>
              <w:rPr>
                <w:rFonts w:cs="Arial"/>
              </w:rPr>
            </w:pPr>
          </w:p>
          <w:p w14:paraId="767274FA" w14:textId="05898F84" w:rsidR="000A7AB8" w:rsidRPr="000A7AB8" w:rsidRDefault="000A7AB8" w:rsidP="00C7483D">
            <w:pPr>
              <w:pStyle w:val="MBT"/>
              <w:rPr>
                <w:rFonts w:cs="Arial"/>
              </w:rPr>
            </w:pPr>
            <w:r w:rsidRPr="000A7AB8">
              <w:rPr>
                <w:rFonts w:cs="Arial"/>
              </w:rPr>
              <w:t xml:space="preserve">This study/report has been prepared by </w:t>
            </w:r>
            <w:r w:rsidR="00151C69" w:rsidRPr="00151C69">
              <w:rPr>
                <w:rFonts w:cs="Arial"/>
              </w:rPr>
              <w:t xml:space="preserve">Milieu SRL under Horizon RED SPINEL </w:t>
            </w:r>
            <w:proofErr w:type="gramStart"/>
            <w:r w:rsidR="00151C69" w:rsidRPr="00151C69">
              <w:rPr>
                <w:rFonts w:cs="Arial"/>
              </w:rPr>
              <w:t>Project  N</w:t>
            </w:r>
            <w:proofErr w:type="gramEnd"/>
            <w:r w:rsidR="00151C69" w:rsidRPr="00151C69">
              <w:rPr>
                <w:rFonts w:cs="Arial"/>
              </w:rPr>
              <w:t>°101061621</w:t>
            </w:r>
            <w:r w:rsidRPr="000A7AB8">
              <w:rPr>
                <w:rFonts w:cs="Arial"/>
              </w:rPr>
              <w:t>. The main author of the study/</w:t>
            </w:r>
            <w:r w:rsidRPr="00DE3353">
              <w:rPr>
                <w:rFonts w:cs="Arial"/>
              </w:rPr>
              <w:t xml:space="preserve">report </w:t>
            </w:r>
            <w:r w:rsidR="00083CC5" w:rsidRPr="00DE3353">
              <w:rPr>
                <w:rFonts w:cs="Arial"/>
              </w:rPr>
              <w:t>is</w:t>
            </w:r>
            <w:r w:rsidRPr="00DE3353">
              <w:rPr>
                <w:rFonts w:cs="Arial"/>
              </w:rPr>
              <w:t xml:space="preserve"> </w:t>
            </w:r>
            <w:r w:rsidR="007E2DFE" w:rsidRPr="00DE3353">
              <w:rPr>
                <w:rFonts w:cs="Arial"/>
              </w:rPr>
              <w:t>Raffaella D’Antonio</w:t>
            </w:r>
            <w:r w:rsidR="00151C69" w:rsidRPr="00DE3353">
              <w:rPr>
                <w:rFonts w:cs="Arial"/>
              </w:rPr>
              <w:t xml:space="preserve"> reviewed</w:t>
            </w:r>
            <w:r w:rsidR="00151C69">
              <w:rPr>
                <w:rFonts w:cs="Arial"/>
              </w:rPr>
              <w:t xml:space="preserve"> by Marta Ballesteros</w:t>
            </w:r>
            <w:r w:rsidRPr="000A7AB8">
              <w:rPr>
                <w:rFonts w:cs="Arial"/>
              </w:rPr>
              <w:t>.</w:t>
            </w:r>
          </w:p>
          <w:p w14:paraId="324F8BA4" w14:textId="3E204135" w:rsidR="00C41866" w:rsidRPr="000A7AB8" w:rsidRDefault="00C41866" w:rsidP="00C7483D">
            <w:pPr>
              <w:pStyle w:val="MBT"/>
              <w:rPr>
                <w:rFonts w:cs="Arial"/>
              </w:rPr>
            </w:pPr>
            <w:r w:rsidRPr="000A7AB8">
              <w:rPr>
                <w:rFonts w:cs="Arial"/>
              </w:rPr>
              <w:t xml:space="preserve">The views expressed herein are those of the consultants alone and do not necessarily represent the official views of the European Commission. </w:t>
            </w:r>
          </w:p>
          <w:p w14:paraId="2820EC75" w14:textId="7FAECCB9" w:rsidR="00C41866" w:rsidRDefault="00C41866" w:rsidP="004E20ED">
            <w:pPr>
              <w:pStyle w:val="MBT"/>
              <w:rPr>
                <w:rFonts w:cs="Arial"/>
                <w:lang w:val="fr-BE"/>
              </w:rPr>
            </w:pPr>
            <w:r w:rsidRPr="000A7AB8">
              <w:rPr>
                <w:rFonts w:cs="Arial"/>
                <w:b/>
                <w:lang w:val="fr-BE"/>
              </w:rPr>
              <w:t>Milieu Consulting SRL</w:t>
            </w:r>
            <w:r w:rsidRPr="000A7AB8">
              <w:rPr>
                <w:rFonts w:cs="Arial"/>
                <w:lang w:val="fr-BE"/>
              </w:rPr>
              <w:t xml:space="preserve">, </w:t>
            </w:r>
            <w:proofErr w:type="spellStart"/>
            <w:r w:rsidRPr="000A7AB8">
              <w:rPr>
                <w:rFonts w:cs="Arial"/>
                <w:lang w:val="fr-BE"/>
              </w:rPr>
              <w:t>Chaussee</w:t>
            </w:r>
            <w:proofErr w:type="spellEnd"/>
            <w:r w:rsidRPr="000A7AB8">
              <w:rPr>
                <w:rFonts w:cs="Arial"/>
                <w:lang w:val="fr-BE"/>
              </w:rPr>
              <w:t xml:space="preserve"> de Charleroi 112, B-1060 Brussels, tel</w:t>
            </w:r>
            <w:proofErr w:type="gramStart"/>
            <w:r w:rsidRPr="000A7AB8">
              <w:rPr>
                <w:rFonts w:cs="Arial"/>
                <w:lang w:val="fr-BE"/>
              </w:rPr>
              <w:t>.:</w:t>
            </w:r>
            <w:proofErr w:type="gramEnd"/>
            <w:r w:rsidRPr="000A7AB8">
              <w:rPr>
                <w:rFonts w:cs="Arial"/>
                <w:lang w:val="fr-BE"/>
              </w:rPr>
              <w:t xml:space="preserve"> +32 2 506 1000; e-mail:  </w:t>
            </w:r>
            <w:r w:rsidR="00083CC5">
              <w:rPr>
                <w:rFonts w:cs="Arial"/>
                <w:lang w:val="fr-BE"/>
              </w:rPr>
              <w:t>marta.ballesteros@milieu.be</w:t>
            </w:r>
            <w:r w:rsidRPr="000A7AB8">
              <w:rPr>
                <w:rFonts w:cs="Arial"/>
                <w:lang w:val="fr-BE"/>
              </w:rPr>
              <w:t xml:space="preserve">; web </w:t>
            </w:r>
            <w:proofErr w:type="spellStart"/>
            <w:r w:rsidRPr="000A7AB8">
              <w:rPr>
                <w:rFonts w:cs="Arial"/>
                <w:lang w:val="fr-BE"/>
              </w:rPr>
              <w:t>address</w:t>
            </w:r>
            <w:proofErr w:type="spellEnd"/>
            <w:r w:rsidRPr="000A7AB8">
              <w:rPr>
                <w:rFonts w:cs="Arial"/>
                <w:lang w:val="fr-BE"/>
              </w:rPr>
              <w:t xml:space="preserve">: </w:t>
            </w:r>
            <w:hyperlink r:id="rId11" w:history="1">
              <w:r w:rsidR="00083CC5" w:rsidRPr="007E4864">
                <w:rPr>
                  <w:rStyle w:val="Hyperlink"/>
                  <w:rFonts w:cs="Arial"/>
                  <w:lang w:val="fr-BE"/>
                </w:rPr>
                <w:t>www.milieu.be</w:t>
              </w:r>
            </w:hyperlink>
            <w:r w:rsidRPr="000A7AB8">
              <w:rPr>
                <w:rFonts w:cs="Arial"/>
                <w:lang w:val="fr-BE"/>
              </w:rPr>
              <w:t>.</w:t>
            </w:r>
            <w:r w:rsidRPr="006D3D57">
              <w:rPr>
                <w:rFonts w:cs="Arial"/>
                <w:lang w:val="fr-BE"/>
              </w:rPr>
              <w:t xml:space="preserve"> </w:t>
            </w:r>
          </w:p>
          <w:p w14:paraId="707BAA24" w14:textId="46EDB40B" w:rsidR="000C63E0" w:rsidRPr="004E20ED" w:rsidRDefault="000C63E0" w:rsidP="004E20ED">
            <w:pPr>
              <w:pStyle w:val="MBT"/>
              <w:rPr>
                <w:rFonts w:cs="Arial"/>
                <w:lang w:val="fr-BE"/>
              </w:rPr>
            </w:pPr>
          </w:p>
        </w:tc>
      </w:tr>
    </w:tbl>
    <w:p w14:paraId="1E8170F0" w14:textId="77777777" w:rsidR="00C41866" w:rsidRPr="006D3D57" w:rsidRDefault="00C41866" w:rsidP="00C41866">
      <w:pPr>
        <w:rPr>
          <w:rFonts w:ascii="Arial" w:hAnsi="Arial" w:cs="Arial"/>
          <w:b/>
          <w:i/>
          <w:sz w:val="22"/>
          <w:lang w:val="fr-BE"/>
        </w:rPr>
      </w:pPr>
      <w:r w:rsidRPr="006D3D57">
        <w:rPr>
          <w:rFonts w:ascii="Arial" w:hAnsi="Arial" w:cs="Arial"/>
          <w:b/>
          <w:u w:val="single"/>
          <w:lang w:val="fr-BE"/>
        </w:rPr>
        <w:br w:type="page"/>
      </w:r>
    </w:p>
    <w:tbl>
      <w:tblPr>
        <w:tblStyle w:val="TableGrid"/>
        <w:tblW w:w="5000" w:type="pct"/>
        <w:tblBorders>
          <w:top w:val="single" w:sz="12" w:space="0" w:color="EAF1DD" w:themeColor="text2"/>
          <w:left w:val="single" w:sz="12" w:space="0" w:color="EAF1DD" w:themeColor="text2"/>
          <w:bottom w:val="single" w:sz="12" w:space="0" w:color="EAF1DD" w:themeColor="text2"/>
          <w:right w:val="single" w:sz="12" w:space="0" w:color="EAF1DD" w:themeColor="text2"/>
          <w:insideH w:val="single" w:sz="12" w:space="0" w:color="EAF1DD" w:themeColor="text2"/>
          <w:insideV w:val="single" w:sz="12" w:space="0" w:color="EAF1DD" w:themeColor="text2"/>
        </w:tblBorders>
        <w:tblCellMar>
          <w:top w:w="57" w:type="dxa"/>
          <w:bottom w:w="57" w:type="dxa"/>
        </w:tblCellMar>
        <w:tblLook w:val="04A0" w:firstRow="1" w:lastRow="0" w:firstColumn="1" w:lastColumn="0" w:noHBand="0" w:noVBand="1"/>
      </w:tblPr>
      <w:tblGrid>
        <w:gridCol w:w="9040"/>
      </w:tblGrid>
      <w:tr w:rsidR="00C41866" w:rsidRPr="006D3D57" w14:paraId="4BF5F42D" w14:textId="77777777" w:rsidTr="000C63E0">
        <w:tc>
          <w:tcPr>
            <w:tcW w:w="5000" w:type="pct"/>
            <w:shd w:val="clear" w:color="auto" w:fill="auto"/>
            <w:vAlign w:val="center"/>
          </w:tcPr>
          <w:p w14:paraId="66D67290" w14:textId="67270FA8" w:rsidR="00C41866" w:rsidRPr="006D7B0E" w:rsidRDefault="006D7B0E" w:rsidP="006D7B0E">
            <w:pPr>
              <w:pStyle w:val="MBT"/>
              <w:jc w:val="center"/>
              <w:rPr>
                <w:b/>
                <w:i/>
                <w:iCs/>
                <w:color w:val="7AB800" w:themeColor="background2"/>
                <w:sz w:val="32"/>
                <w:szCs w:val="32"/>
              </w:rPr>
            </w:pPr>
            <w:r w:rsidRPr="006D7B0E">
              <w:rPr>
                <w:b/>
                <w:i/>
                <w:iCs/>
                <w:color w:val="7AB800" w:themeColor="background2"/>
                <w:sz w:val="32"/>
                <w:szCs w:val="32"/>
              </w:rPr>
              <w:lastRenderedPageBreak/>
              <w:t>Use of the rule of law legal instruments in the face of mounting dissensus at a national level</w:t>
            </w:r>
          </w:p>
        </w:tc>
      </w:tr>
    </w:tbl>
    <w:p w14:paraId="35A53179" w14:textId="77777777" w:rsidR="00C41866" w:rsidRPr="00741BCC" w:rsidRDefault="00C41866" w:rsidP="00C41866">
      <w:pPr>
        <w:rPr>
          <w:b/>
          <w:sz w:val="22"/>
          <w:szCs w:val="22"/>
        </w:rPr>
      </w:pPr>
    </w:p>
    <w:p w14:paraId="1D67C19B" w14:textId="77777777" w:rsidR="00C41866" w:rsidRPr="00741BCC" w:rsidRDefault="00C41866" w:rsidP="00C41866">
      <w:pPr>
        <w:rPr>
          <w:b/>
          <w:sz w:val="22"/>
          <w:szCs w:val="22"/>
        </w:rPr>
      </w:pPr>
    </w:p>
    <w:p w14:paraId="307B1833" w14:textId="2C172D87" w:rsidR="00C41866" w:rsidRPr="00741BCC" w:rsidRDefault="001E4F4D" w:rsidP="00657A35">
      <w:pPr>
        <w:pStyle w:val="MH1nonumb"/>
        <w:pageBreakBefore w:val="0"/>
        <w:outlineLvl w:val="9"/>
      </w:pPr>
      <w:r w:rsidRPr="00741BCC">
        <w:t>Table of contents</w:t>
      </w:r>
    </w:p>
    <w:p w14:paraId="3881AA8A" w14:textId="0434B66E" w:rsidR="00250D9B" w:rsidRDefault="00E254D1">
      <w:pPr>
        <w:pStyle w:val="TOC1"/>
        <w:rPr>
          <w:rFonts w:asciiTheme="minorHAnsi" w:eastAsiaTheme="minorEastAsia" w:hAnsiTheme="minorHAnsi" w:cstheme="minorBidi"/>
          <w:b w:val="0"/>
          <w:bCs w:val="0"/>
          <w:sz w:val="22"/>
          <w:lang w:val="fr-BE" w:eastAsia="fr-BE"/>
        </w:rPr>
      </w:pPr>
      <w:r>
        <w:rPr>
          <w:rFonts w:ascii="Century Gothic" w:hAnsi="Century Gothic"/>
          <w:b w:val="0"/>
          <w:bCs w:val="0"/>
          <w:caps/>
          <w:szCs w:val="20"/>
        </w:rPr>
        <w:fldChar w:fldCharType="begin"/>
      </w:r>
      <w:r>
        <w:rPr>
          <w:rFonts w:ascii="Century Gothic" w:hAnsi="Century Gothic"/>
          <w:b w:val="0"/>
          <w:bCs w:val="0"/>
          <w:caps/>
          <w:szCs w:val="20"/>
        </w:rPr>
        <w:instrText xml:space="preserve"> TOC \o "1-1" \h \z \u </w:instrText>
      </w:r>
      <w:r>
        <w:rPr>
          <w:rFonts w:ascii="Century Gothic" w:hAnsi="Century Gothic"/>
          <w:b w:val="0"/>
          <w:bCs w:val="0"/>
          <w:caps/>
          <w:szCs w:val="20"/>
        </w:rPr>
        <w:fldChar w:fldCharType="separate"/>
      </w:r>
      <w:hyperlink w:anchor="_Toc131597975" w:history="1">
        <w:r w:rsidR="00250D9B" w:rsidRPr="002C5991">
          <w:rPr>
            <w:rStyle w:val="Hyperlink"/>
          </w:rPr>
          <w:t>Abbreviations used</w:t>
        </w:r>
        <w:r w:rsidR="00250D9B">
          <w:rPr>
            <w:webHidden/>
          </w:rPr>
          <w:tab/>
        </w:r>
        <w:r w:rsidR="00250D9B">
          <w:rPr>
            <w:webHidden/>
          </w:rPr>
          <w:fldChar w:fldCharType="begin"/>
        </w:r>
        <w:r w:rsidR="00250D9B">
          <w:rPr>
            <w:webHidden/>
          </w:rPr>
          <w:instrText xml:space="preserve"> PAGEREF _Toc131597975 \h </w:instrText>
        </w:r>
        <w:r w:rsidR="00250D9B">
          <w:rPr>
            <w:webHidden/>
          </w:rPr>
        </w:r>
        <w:r w:rsidR="00250D9B">
          <w:rPr>
            <w:webHidden/>
          </w:rPr>
          <w:fldChar w:fldCharType="separate"/>
        </w:r>
        <w:r w:rsidR="00250D9B">
          <w:rPr>
            <w:webHidden/>
          </w:rPr>
          <w:t>4</w:t>
        </w:r>
        <w:r w:rsidR="00250D9B">
          <w:rPr>
            <w:webHidden/>
          </w:rPr>
          <w:fldChar w:fldCharType="end"/>
        </w:r>
      </w:hyperlink>
    </w:p>
    <w:p w14:paraId="61785044" w14:textId="2AA7E008" w:rsidR="00250D9B" w:rsidRDefault="00DE3353">
      <w:pPr>
        <w:pStyle w:val="TOC1"/>
        <w:rPr>
          <w:rFonts w:asciiTheme="minorHAnsi" w:eastAsiaTheme="minorEastAsia" w:hAnsiTheme="minorHAnsi" w:cstheme="minorBidi"/>
          <w:b w:val="0"/>
          <w:bCs w:val="0"/>
          <w:sz w:val="22"/>
          <w:lang w:val="fr-BE" w:eastAsia="fr-BE"/>
        </w:rPr>
      </w:pPr>
      <w:hyperlink w:anchor="_Toc131597976" w:history="1">
        <w:r w:rsidR="00250D9B" w:rsidRPr="002C5991">
          <w:rPr>
            <w:rStyle w:val="Hyperlink"/>
            <w:lang w:val="en-US"/>
            <w14:scene3d>
              <w14:camera w14:prst="orthographicFront"/>
              <w14:lightRig w14:rig="threePt" w14:dir="t">
                <w14:rot w14:lat="0" w14:lon="0" w14:rev="0"/>
              </w14:lightRig>
            </w14:scene3d>
          </w:rPr>
          <w:t>1.</w:t>
        </w:r>
        <w:r w:rsidR="00250D9B">
          <w:rPr>
            <w:rFonts w:asciiTheme="minorHAnsi" w:eastAsiaTheme="minorEastAsia" w:hAnsiTheme="minorHAnsi" w:cstheme="minorBidi"/>
            <w:b w:val="0"/>
            <w:bCs w:val="0"/>
            <w:sz w:val="22"/>
            <w:lang w:val="fr-BE" w:eastAsia="fr-BE"/>
          </w:rPr>
          <w:tab/>
        </w:r>
        <w:r w:rsidR="00250D9B" w:rsidRPr="002C5991">
          <w:rPr>
            <w:rStyle w:val="Hyperlink"/>
            <w:lang w:val="en-US"/>
          </w:rPr>
          <w:t>Introduction: Rule of Law threats conform dissensus actions</w:t>
        </w:r>
        <w:r w:rsidR="00250D9B">
          <w:rPr>
            <w:webHidden/>
          </w:rPr>
          <w:tab/>
        </w:r>
        <w:r w:rsidR="00250D9B">
          <w:rPr>
            <w:webHidden/>
          </w:rPr>
          <w:fldChar w:fldCharType="begin"/>
        </w:r>
        <w:r w:rsidR="00250D9B">
          <w:rPr>
            <w:webHidden/>
          </w:rPr>
          <w:instrText xml:space="preserve"> PAGEREF _Toc131597976 \h </w:instrText>
        </w:r>
        <w:r w:rsidR="00250D9B">
          <w:rPr>
            <w:webHidden/>
          </w:rPr>
        </w:r>
        <w:r w:rsidR="00250D9B">
          <w:rPr>
            <w:webHidden/>
          </w:rPr>
          <w:fldChar w:fldCharType="separate"/>
        </w:r>
        <w:r w:rsidR="00250D9B">
          <w:rPr>
            <w:webHidden/>
          </w:rPr>
          <w:t>5</w:t>
        </w:r>
        <w:r w:rsidR="00250D9B">
          <w:rPr>
            <w:webHidden/>
          </w:rPr>
          <w:fldChar w:fldCharType="end"/>
        </w:r>
      </w:hyperlink>
    </w:p>
    <w:p w14:paraId="5FAC3344" w14:textId="477862C1" w:rsidR="00250D9B" w:rsidRDefault="00DE3353">
      <w:pPr>
        <w:pStyle w:val="TOC1"/>
        <w:rPr>
          <w:rFonts w:asciiTheme="minorHAnsi" w:eastAsiaTheme="minorEastAsia" w:hAnsiTheme="minorHAnsi" w:cstheme="minorBidi"/>
          <w:b w:val="0"/>
          <w:bCs w:val="0"/>
          <w:sz w:val="22"/>
          <w:lang w:val="fr-BE" w:eastAsia="fr-BE"/>
        </w:rPr>
      </w:pPr>
      <w:hyperlink w:anchor="_Toc131597977" w:history="1">
        <w:r w:rsidR="00250D9B" w:rsidRPr="002C5991">
          <w:rPr>
            <w:rStyle w:val="Hyperlink"/>
            <w:lang w:val="en-US"/>
            <w14:scene3d>
              <w14:camera w14:prst="orthographicFront"/>
              <w14:lightRig w14:rig="threePt" w14:dir="t">
                <w14:rot w14:lat="0" w14:lon="0" w14:rev="0"/>
              </w14:lightRig>
            </w14:scene3d>
          </w:rPr>
          <w:t>2.</w:t>
        </w:r>
        <w:r w:rsidR="00250D9B">
          <w:rPr>
            <w:rFonts w:asciiTheme="minorHAnsi" w:eastAsiaTheme="minorEastAsia" w:hAnsiTheme="minorHAnsi" w:cstheme="minorBidi"/>
            <w:b w:val="0"/>
            <w:bCs w:val="0"/>
            <w:sz w:val="22"/>
            <w:lang w:val="fr-BE" w:eastAsia="fr-BE"/>
          </w:rPr>
          <w:tab/>
        </w:r>
        <w:r w:rsidR="00250D9B" w:rsidRPr="002C5991">
          <w:rPr>
            <w:rStyle w:val="Hyperlink"/>
            <w:lang w:val="en-US"/>
          </w:rPr>
          <w:t>The Instruments Provided by Italian law</w:t>
        </w:r>
        <w:r w:rsidR="00250D9B">
          <w:rPr>
            <w:webHidden/>
          </w:rPr>
          <w:tab/>
        </w:r>
        <w:r w:rsidR="00250D9B">
          <w:rPr>
            <w:webHidden/>
          </w:rPr>
          <w:fldChar w:fldCharType="begin"/>
        </w:r>
        <w:r w:rsidR="00250D9B">
          <w:rPr>
            <w:webHidden/>
          </w:rPr>
          <w:instrText xml:space="preserve"> PAGEREF _Toc131597977 \h </w:instrText>
        </w:r>
        <w:r w:rsidR="00250D9B">
          <w:rPr>
            <w:webHidden/>
          </w:rPr>
        </w:r>
        <w:r w:rsidR="00250D9B">
          <w:rPr>
            <w:webHidden/>
          </w:rPr>
          <w:fldChar w:fldCharType="separate"/>
        </w:r>
        <w:r w:rsidR="00250D9B">
          <w:rPr>
            <w:webHidden/>
          </w:rPr>
          <w:t>7</w:t>
        </w:r>
        <w:r w:rsidR="00250D9B">
          <w:rPr>
            <w:webHidden/>
          </w:rPr>
          <w:fldChar w:fldCharType="end"/>
        </w:r>
      </w:hyperlink>
    </w:p>
    <w:p w14:paraId="6C37AD7D" w14:textId="66D5AF2A" w:rsidR="00250D9B" w:rsidRDefault="00DE3353">
      <w:pPr>
        <w:pStyle w:val="TOC1"/>
        <w:rPr>
          <w:rFonts w:asciiTheme="minorHAnsi" w:eastAsiaTheme="minorEastAsia" w:hAnsiTheme="minorHAnsi" w:cstheme="minorBidi"/>
          <w:b w:val="0"/>
          <w:bCs w:val="0"/>
          <w:sz w:val="22"/>
          <w:lang w:val="fr-BE" w:eastAsia="fr-BE"/>
        </w:rPr>
      </w:pPr>
      <w:hyperlink w:anchor="_Toc131597978" w:history="1">
        <w:r w:rsidR="00250D9B" w:rsidRPr="002C5991">
          <w:rPr>
            <w:rStyle w:val="Hyperlink"/>
            <w:lang w:val="en-US"/>
            <w14:scene3d>
              <w14:camera w14:prst="orthographicFront"/>
              <w14:lightRig w14:rig="threePt" w14:dir="t">
                <w14:rot w14:lat="0" w14:lon="0" w14:rev="0"/>
              </w14:lightRig>
            </w14:scene3d>
          </w:rPr>
          <w:t>3.</w:t>
        </w:r>
        <w:r w:rsidR="00250D9B">
          <w:rPr>
            <w:rFonts w:asciiTheme="minorHAnsi" w:eastAsiaTheme="minorEastAsia" w:hAnsiTheme="minorHAnsi" w:cstheme="minorBidi"/>
            <w:b w:val="0"/>
            <w:bCs w:val="0"/>
            <w:sz w:val="22"/>
            <w:lang w:val="fr-BE" w:eastAsia="fr-BE"/>
          </w:rPr>
          <w:tab/>
        </w:r>
        <w:r w:rsidR="00250D9B" w:rsidRPr="002C5991">
          <w:rPr>
            <w:rStyle w:val="Hyperlink"/>
            <w:lang w:val="en-US"/>
          </w:rPr>
          <w:t>Judicial intervention</w:t>
        </w:r>
        <w:r w:rsidR="00250D9B">
          <w:rPr>
            <w:webHidden/>
          </w:rPr>
          <w:tab/>
        </w:r>
        <w:r w:rsidR="00250D9B">
          <w:rPr>
            <w:webHidden/>
          </w:rPr>
          <w:fldChar w:fldCharType="begin"/>
        </w:r>
        <w:r w:rsidR="00250D9B">
          <w:rPr>
            <w:webHidden/>
          </w:rPr>
          <w:instrText xml:space="preserve"> PAGEREF _Toc131597978 \h </w:instrText>
        </w:r>
        <w:r w:rsidR="00250D9B">
          <w:rPr>
            <w:webHidden/>
          </w:rPr>
        </w:r>
        <w:r w:rsidR="00250D9B">
          <w:rPr>
            <w:webHidden/>
          </w:rPr>
          <w:fldChar w:fldCharType="separate"/>
        </w:r>
        <w:r w:rsidR="00250D9B">
          <w:rPr>
            <w:webHidden/>
          </w:rPr>
          <w:t>14</w:t>
        </w:r>
        <w:r w:rsidR="00250D9B">
          <w:rPr>
            <w:webHidden/>
          </w:rPr>
          <w:fldChar w:fldCharType="end"/>
        </w:r>
      </w:hyperlink>
    </w:p>
    <w:p w14:paraId="2F0782EE" w14:textId="0CD2A5EE" w:rsidR="00250D9B" w:rsidRDefault="00DE3353">
      <w:pPr>
        <w:pStyle w:val="TOC1"/>
        <w:rPr>
          <w:rFonts w:asciiTheme="minorHAnsi" w:eastAsiaTheme="minorEastAsia" w:hAnsiTheme="minorHAnsi" w:cstheme="minorBidi"/>
          <w:b w:val="0"/>
          <w:bCs w:val="0"/>
          <w:sz w:val="22"/>
          <w:lang w:val="fr-BE" w:eastAsia="fr-BE"/>
        </w:rPr>
      </w:pPr>
      <w:hyperlink w:anchor="_Toc131597979" w:history="1">
        <w:r w:rsidR="00250D9B" w:rsidRPr="002C5991">
          <w:rPr>
            <w:rStyle w:val="Hyperlink"/>
            <w:lang w:val="en-US"/>
            <w14:scene3d>
              <w14:camera w14:prst="orthographicFront"/>
              <w14:lightRig w14:rig="threePt" w14:dir="t">
                <w14:rot w14:lat="0" w14:lon="0" w14:rev="0"/>
              </w14:lightRig>
            </w14:scene3d>
          </w:rPr>
          <w:t>4.</w:t>
        </w:r>
        <w:r w:rsidR="00250D9B">
          <w:rPr>
            <w:rFonts w:asciiTheme="minorHAnsi" w:eastAsiaTheme="minorEastAsia" w:hAnsiTheme="minorHAnsi" w:cstheme="minorBidi"/>
            <w:b w:val="0"/>
            <w:bCs w:val="0"/>
            <w:sz w:val="22"/>
            <w:lang w:val="fr-BE" w:eastAsia="fr-BE"/>
          </w:rPr>
          <w:tab/>
        </w:r>
        <w:r w:rsidR="00250D9B" w:rsidRPr="002C5991">
          <w:rPr>
            <w:rStyle w:val="Hyperlink"/>
            <w:lang w:val="en-US"/>
          </w:rPr>
          <w:t>Recent Trends on the implementation of the Rule of Law facing threats from dissension actions</w:t>
        </w:r>
        <w:r w:rsidR="00250D9B">
          <w:rPr>
            <w:webHidden/>
          </w:rPr>
          <w:tab/>
        </w:r>
        <w:r w:rsidR="00250D9B">
          <w:rPr>
            <w:webHidden/>
          </w:rPr>
          <w:fldChar w:fldCharType="begin"/>
        </w:r>
        <w:r w:rsidR="00250D9B">
          <w:rPr>
            <w:webHidden/>
          </w:rPr>
          <w:instrText xml:space="preserve"> PAGEREF _Toc131597979 \h </w:instrText>
        </w:r>
        <w:r w:rsidR="00250D9B">
          <w:rPr>
            <w:webHidden/>
          </w:rPr>
        </w:r>
        <w:r w:rsidR="00250D9B">
          <w:rPr>
            <w:webHidden/>
          </w:rPr>
          <w:fldChar w:fldCharType="separate"/>
        </w:r>
        <w:r w:rsidR="00250D9B">
          <w:rPr>
            <w:webHidden/>
          </w:rPr>
          <w:t>15</w:t>
        </w:r>
        <w:r w:rsidR="00250D9B">
          <w:rPr>
            <w:webHidden/>
          </w:rPr>
          <w:fldChar w:fldCharType="end"/>
        </w:r>
      </w:hyperlink>
    </w:p>
    <w:p w14:paraId="4E36BB4D" w14:textId="0DBF1462" w:rsidR="00250D9B" w:rsidRDefault="00DE3353">
      <w:pPr>
        <w:pStyle w:val="TOC1"/>
        <w:rPr>
          <w:rFonts w:asciiTheme="minorHAnsi" w:eastAsiaTheme="minorEastAsia" w:hAnsiTheme="minorHAnsi" w:cstheme="minorBidi"/>
          <w:b w:val="0"/>
          <w:bCs w:val="0"/>
          <w:sz w:val="22"/>
          <w:lang w:val="fr-BE" w:eastAsia="fr-BE"/>
        </w:rPr>
      </w:pPr>
      <w:hyperlink w:anchor="_Toc131597980" w:history="1">
        <w:r w:rsidR="00250D9B" w:rsidRPr="002C5991">
          <w:rPr>
            <w:rStyle w:val="Hyperlink"/>
            <w:lang w:val="en-US"/>
            <w14:scene3d>
              <w14:camera w14:prst="orthographicFront"/>
              <w14:lightRig w14:rig="threePt" w14:dir="t">
                <w14:rot w14:lat="0" w14:lon="0" w14:rev="0"/>
              </w14:lightRig>
            </w14:scene3d>
          </w:rPr>
          <w:t>5.</w:t>
        </w:r>
        <w:r w:rsidR="00250D9B">
          <w:rPr>
            <w:rFonts w:asciiTheme="minorHAnsi" w:eastAsiaTheme="minorEastAsia" w:hAnsiTheme="minorHAnsi" w:cstheme="minorBidi"/>
            <w:b w:val="0"/>
            <w:bCs w:val="0"/>
            <w:sz w:val="22"/>
            <w:lang w:val="fr-BE" w:eastAsia="fr-BE"/>
          </w:rPr>
          <w:tab/>
        </w:r>
        <w:r w:rsidR="00250D9B" w:rsidRPr="002C5991">
          <w:rPr>
            <w:rStyle w:val="Hyperlink"/>
            <w:lang w:val="en-US"/>
          </w:rPr>
          <w:t>Conclusion and New Challenges</w:t>
        </w:r>
        <w:r w:rsidR="00250D9B">
          <w:rPr>
            <w:webHidden/>
          </w:rPr>
          <w:tab/>
        </w:r>
        <w:r w:rsidR="00250D9B">
          <w:rPr>
            <w:webHidden/>
          </w:rPr>
          <w:fldChar w:fldCharType="begin"/>
        </w:r>
        <w:r w:rsidR="00250D9B">
          <w:rPr>
            <w:webHidden/>
          </w:rPr>
          <w:instrText xml:space="preserve"> PAGEREF _Toc131597980 \h </w:instrText>
        </w:r>
        <w:r w:rsidR="00250D9B">
          <w:rPr>
            <w:webHidden/>
          </w:rPr>
        </w:r>
        <w:r w:rsidR="00250D9B">
          <w:rPr>
            <w:webHidden/>
          </w:rPr>
          <w:fldChar w:fldCharType="separate"/>
        </w:r>
        <w:r w:rsidR="00250D9B">
          <w:rPr>
            <w:webHidden/>
          </w:rPr>
          <w:t>17</w:t>
        </w:r>
        <w:r w:rsidR="00250D9B">
          <w:rPr>
            <w:webHidden/>
          </w:rPr>
          <w:fldChar w:fldCharType="end"/>
        </w:r>
      </w:hyperlink>
    </w:p>
    <w:p w14:paraId="184F5558" w14:textId="24BC66D2" w:rsidR="00C41866" w:rsidRPr="00741BCC" w:rsidRDefault="00E254D1" w:rsidP="00657A35">
      <w:pPr>
        <w:pStyle w:val="MBT"/>
        <w:rPr>
          <w:noProof/>
          <w:lang w:eastAsia="en-GB"/>
        </w:rPr>
      </w:pPr>
      <w:r>
        <w:rPr>
          <w:rFonts w:ascii="Century Gothic" w:hAnsi="Century Gothic"/>
          <w:b/>
          <w:bCs w:val="0"/>
          <w:caps/>
          <w:noProof/>
          <w:sz w:val="24"/>
          <w:szCs w:val="20"/>
        </w:rPr>
        <w:fldChar w:fldCharType="end"/>
      </w:r>
      <w:r w:rsidR="00C41866" w:rsidRPr="00741BCC">
        <w:rPr>
          <w:caps/>
        </w:rPr>
        <w:fldChar w:fldCharType="begin"/>
      </w:r>
      <w:r w:rsidR="00C41866" w:rsidRPr="00741BCC">
        <w:instrText xml:space="preserve"> TOC \o "1-3" \h \z \u </w:instrText>
      </w:r>
      <w:r w:rsidR="00C41866" w:rsidRPr="00741BCC">
        <w:rPr>
          <w:caps/>
        </w:rPr>
        <w:fldChar w:fldCharType="separate"/>
      </w:r>
    </w:p>
    <w:p w14:paraId="103795C0" w14:textId="508F2261" w:rsidR="00C41866" w:rsidRPr="00741BCC" w:rsidRDefault="00C41866" w:rsidP="00083CC5">
      <w:pPr>
        <w:pStyle w:val="MBT"/>
      </w:pPr>
      <w:r w:rsidRPr="00741BCC">
        <w:rPr>
          <w:rFonts w:cs="Arial"/>
          <w:b/>
          <w:noProof/>
          <w:color w:val="000080"/>
        </w:rPr>
        <w:fldChar w:fldCharType="end"/>
      </w:r>
    </w:p>
    <w:p w14:paraId="3F789C19" w14:textId="77777777" w:rsidR="00C41866" w:rsidRPr="00741BCC" w:rsidRDefault="00C41866" w:rsidP="00C41866"/>
    <w:p w14:paraId="11095183" w14:textId="77777777" w:rsidR="00C41866" w:rsidRPr="00741BCC" w:rsidRDefault="00C41866" w:rsidP="00C41866">
      <w:pPr>
        <w:pStyle w:val="Heading1"/>
        <w:rPr>
          <w:rFonts w:ascii="Century Gothic" w:hAnsi="Century Gothic"/>
          <w:u w:val="none"/>
        </w:rPr>
        <w:sectPr w:rsidR="00C41866" w:rsidRPr="00741BCC" w:rsidSect="00351E21">
          <w:pgSz w:w="11906" w:h="16838" w:code="9"/>
          <w:pgMar w:top="1418" w:right="1418" w:bottom="1418" w:left="1418" w:header="709" w:footer="709" w:gutter="0"/>
          <w:cols w:space="708"/>
          <w:docGrid w:linePitch="360"/>
        </w:sectPr>
      </w:pPr>
      <w:bookmarkStart w:id="0" w:name="_Toc126474778"/>
    </w:p>
    <w:p w14:paraId="7D92C404" w14:textId="77777777" w:rsidR="00F66A6B" w:rsidRPr="00741BCC" w:rsidRDefault="00F66A6B" w:rsidP="00F66A6B">
      <w:pPr>
        <w:pStyle w:val="MH1nonumb"/>
      </w:pPr>
      <w:bookmarkStart w:id="1" w:name="_Toc131597975"/>
      <w:bookmarkEnd w:id="0"/>
      <w:r w:rsidRPr="00741BCC">
        <w:lastRenderedPageBreak/>
        <w:t xml:space="preserve">Abbreviations </w:t>
      </w:r>
      <w:proofErr w:type="gramStart"/>
      <w:r w:rsidRPr="00741BCC">
        <w:t>used</w:t>
      </w:r>
      <w:bookmarkEnd w:id="1"/>
      <w:proofErr w:type="gramEnd"/>
    </w:p>
    <w:p w14:paraId="0276D9CC" w14:textId="77777777" w:rsidR="00F66A6B" w:rsidRPr="00741BCC" w:rsidRDefault="00F66A6B" w:rsidP="00F66A6B">
      <w:pPr>
        <w:pStyle w:val="MBT"/>
      </w:pPr>
      <w:bookmarkStart w:id="2" w:name="_Toc80868901"/>
      <w:bookmarkStart w:id="3" w:name="_Toc145843888"/>
      <w:bookmarkStart w:id="4" w:name="_Toc147295812"/>
    </w:p>
    <w:p w14:paraId="248E22D4" w14:textId="77777777" w:rsidR="00F66A6B" w:rsidRPr="00741BCC" w:rsidRDefault="00F66A6B" w:rsidP="00F66A6B">
      <w:pPr>
        <w:widowControl w:val="0"/>
        <w:jc w:val="both"/>
      </w:pPr>
      <w:r w:rsidRPr="00741BCC">
        <w:br w:type="page"/>
      </w:r>
      <w:bookmarkEnd w:id="2"/>
      <w:bookmarkEnd w:id="3"/>
      <w:bookmarkEnd w:id="4"/>
    </w:p>
    <w:p w14:paraId="1933C1A0" w14:textId="77777777" w:rsidR="00F66A6B" w:rsidRPr="00741BCC" w:rsidRDefault="00F66A6B" w:rsidP="00F66A6B">
      <w:pPr>
        <w:widowControl w:val="0"/>
        <w:jc w:val="both"/>
        <w:rPr>
          <w:sz w:val="22"/>
          <w:szCs w:val="22"/>
        </w:rPr>
        <w:sectPr w:rsidR="00F66A6B" w:rsidRPr="00741BCC" w:rsidSect="00C079B4">
          <w:headerReference w:type="default" r:id="rId12"/>
          <w:footerReference w:type="default" r:id="rId13"/>
          <w:pgSz w:w="11906" w:h="16838" w:code="9"/>
          <w:pgMar w:top="1418" w:right="1418" w:bottom="1418" w:left="1418" w:header="709" w:footer="709" w:gutter="0"/>
          <w:cols w:space="708"/>
          <w:docGrid w:linePitch="360"/>
        </w:sectPr>
      </w:pPr>
    </w:p>
    <w:p w14:paraId="3C4DF9A8" w14:textId="658E0D95" w:rsidR="00131239" w:rsidRPr="00A84EC8" w:rsidRDefault="00131239" w:rsidP="00565F09">
      <w:pPr>
        <w:pStyle w:val="MH1"/>
        <w:jc w:val="left"/>
        <w:rPr>
          <w:lang w:val="en-US"/>
        </w:rPr>
      </w:pPr>
      <w:bookmarkStart w:id="5" w:name="_Toc131597976"/>
      <w:r w:rsidRPr="00A84EC8">
        <w:rPr>
          <w:lang w:val="en-US"/>
        </w:rPr>
        <w:lastRenderedPageBreak/>
        <w:t>Introduction</w:t>
      </w:r>
      <w:r w:rsidR="00565F09">
        <w:rPr>
          <w:lang w:val="en-US"/>
        </w:rPr>
        <w:t>:</w:t>
      </w:r>
      <w:r w:rsidRPr="00A84EC8">
        <w:rPr>
          <w:lang w:val="en-US"/>
        </w:rPr>
        <w:t xml:space="preserve"> Rule of Law </w:t>
      </w:r>
      <w:r>
        <w:rPr>
          <w:lang w:val="en-US"/>
        </w:rPr>
        <w:t>threats conform dis</w:t>
      </w:r>
      <w:r w:rsidRPr="00A84EC8">
        <w:rPr>
          <w:lang w:val="en-US"/>
        </w:rPr>
        <w:t>sensus</w:t>
      </w:r>
      <w:r>
        <w:rPr>
          <w:lang w:val="en-US"/>
        </w:rPr>
        <w:t xml:space="preserve"> actions</w:t>
      </w:r>
      <w:bookmarkEnd w:id="5"/>
    </w:p>
    <w:p w14:paraId="4AFBEDB2" w14:textId="77777777" w:rsidR="00131239" w:rsidRPr="00565F09" w:rsidRDefault="00131239" w:rsidP="00565F09">
      <w:pPr>
        <w:pStyle w:val="MBT"/>
        <w:rPr>
          <w:i/>
          <w:iCs/>
          <w:color w:val="FF0000"/>
          <w:lang w:val="en-US"/>
        </w:rPr>
      </w:pPr>
      <w:r w:rsidRPr="00565F09">
        <w:rPr>
          <w:i/>
          <w:iCs/>
          <w:color w:val="FF0000"/>
          <w:lang w:val="en-US"/>
        </w:rPr>
        <w:t>This factsheet shall analyze the existence and the use of rule of law instruments to face dissensus threatening democratic principles at a national level. Hence, it examines how national legal norms and governance instruments might react to breaches of the rule of law.</w:t>
      </w:r>
    </w:p>
    <w:p w14:paraId="3DDAA8B8" w14:textId="5EFE9F53" w:rsidR="00131239" w:rsidRPr="00565F09" w:rsidRDefault="00131239" w:rsidP="00565F09">
      <w:pPr>
        <w:pStyle w:val="MBT"/>
        <w:rPr>
          <w:i/>
          <w:iCs/>
          <w:color w:val="FF0000"/>
          <w:lang w:val="en-US"/>
        </w:rPr>
      </w:pPr>
      <w:r w:rsidRPr="00565F09">
        <w:rPr>
          <w:i/>
          <w:iCs/>
          <w:color w:val="FF0000"/>
          <w:lang w:val="en-US"/>
        </w:rPr>
        <w:t>For the purpose of this work, dissensus is to be understood as the expression of a social, political and legal clash/conflict, which manifests itself in different national and supranational institutional and non-institutional arenas (parliamentary arenas, constitutional arenas, public sphere, technocratic and expert arenas…) driven by political, social, legal actors, including state and non-state actors, seeking to maintain liberal democracy, to replace liberal democracy or to restructure liberal democracy.</w:t>
      </w:r>
      <w:r w:rsidR="003E16D3">
        <w:rPr>
          <w:i/>
          <w:iCs/>
          <w:color w:val="FF0000"/>
          <w:lang w:val="en-US"/>
        </w:rPr>
        <w:t xml:space="preserve"> </w:t>
      </w:r>
    </w:p>
    <w:p w14:paraId="088779A2" w14:textId="77777777" w:rsidR="00131239" w:rsidRPr="00565F09" w:rsidRDefault="00131239" w:rsidP="00565F09">
      <w:pPr>
        <w:pStyle w:val="MBT"/>
        <w:rPr>
          <w:i/>
          <w:iCs/>
          <w:color w:val="FF0000"/>
          <w:lang w:val="en-US"/>
        </w:rPr>
      </w:pPr>
      <w:r w:rsidRPr="00565F09">
        <w:rPr>
          <w:i/>
          <w:iCs/>
          <w:color w:val="FF0000"/>
          <w:lang w:val="en-US"/>
        </w:rPr>
        <w:t xml:space="preserve">Examples of dissenting action can be found in populist or nationalist movements seeking to subvert democratic principles, fundamental rights, and the rule of law. In parallel, there are specific measures or rules established in each country to protect the respect of democratic principles. </w:t>
      </w:r>
    </w:p>
    <w:p w14:paraId="5051E6B6" w14:textId="77777777" w:rsidR="00131239" w:rsidRPr="00565F09" w:rsidRDefault="00131239" w:rsidP="00565F09">
      <w:pPr>
        <w:pStyle w:val="MBT"/>
        <w:rPr>
          <w:i/>
          <w:iCs/>
          <w:color w:val="FF0000"/>
          <w:lang w:val="en-US"/>
        </w:rPr>
      </w:pPr>
      <w:r w:rsidRPr="00565F09">
        <w:rPr>
          <w:i/>
          <w:iCs/>
          <w:color w:val="FF0000"/>
          <w:lang w:val="en-US"/>
        </w:rPr>
        <w:t xml:space="preserve">At EU level the rule of law tool kit is composed of: </w:t>
      </w:r>
    </w:p>
    <w:p w14:paraId="710CAA0F" w14:textId="77777777" w:rsidR="00131239" w:rsidRPr="00F35C05" w:rsidRDefault="00131239" w:rsidP="00565F09">
      <w:pPr>
        <w:pStyle w:val="MBTbullets"/>
        <w:rPr>
          <w:i/>
          <w:iCs/>
          <w:color w:val="FF0000"/>
          <w:lang w:val="en-US"/>
        </w:rPr>
      </w:pPr>
      <w:r w:rsidRPr="00F35C05">
        <w:rPr>
          <w:i/>
          <w:iCs/>
          <w:color w:val="FF0000"/>
          <w:lang w:val="en-US"/>
        </w:rPr>
        <w:t xml:space="preserve">Article 7 TEU to protect institutional system, fundamental rights and democratic principles including control mechanisms of citizens’ right to voting, participation to decision making, legislative initiative, access to </w:t>
      </w:r>
      <w:proofErr w:type="gramStart"/>
      <w:r w:rsidRPr="00F35C05">
        <w:rPr>
          <w:i/>
          <w:iCs/>
          <w:color w:val="FF0000"/>
          <w:lang w:val="en-US"/>
        </w:rPr>
        <w:t>justice</w:t>
      </w:r>
      <w:proofErr w:type="gramEnd"/>
      <w:r w:rsidRPr="00F35C05">
        <w:rPr>
          <w:i/>
          <w:iCs/>
          <w:color w:val="FF0000"/>
          <w:lang w:val="en-US"/>
        </w:rPr>
        <w:t xml:space="preserve"> </w:t>
      </w:r>
    </w:p>
    <w:p w14:paraId="0DE4E867" w14:textId="77777777" w:rsidR="00131239" w:rsidRPr="00F35C05" w:rsidRDefault="00131239" w:rsidP="00565F09">
      <w:pPr>
        <w:pStyle w:val="MBTbullets"/>
        <w:rPr>
          <w:i/>
          <w:iCs/>
          <w:color w:val="FF0000"/>
          <w:lang w:val="en-US"/>
        </w:rPr>
      </w:pPr>
      <w:r w:rsidRPr="00F35C05">
        <w:rPr>
          <w:i/>
          <w:iCs/>
          <w:color w:val="FF0000"/>
          <w:lang w:val="en-US"/>
        </w:rPr>
        <w:t xml:space="preserve">The Infringement Proceeding </w:t>
      </w:r>
    </w:p>
    <w:p w14:paraId="21B48113" w14:textId="77777777" w:rsidR="00131239" w:rsidRPr="00F35C05" w:rsidRDefault="00131239" w:rsidP="00565F09">
      <w:pPr>
        <w:pStyle w:val="MBTbullets"/>
        <w:rPr>
          <w:i/>
          <w:iCs/>
          <w:color w:val="FF0000"/>
          <w:lang w:val="en-US"/>
        </w:rPr>
      </w:pPr>
      <w:r w:rsidRPr="00F35C05">
        <w:rPr>
          <w:i/>
          <w:iCs/>
          <w:color w:val="FF0000"/>
          <w:lang w:val="en-US"/>
        </w:rPr>
        <w:t xml:space="preserve">The Preliminary Reference Procedure </w:t>
      </w:r>
    </w:p>
    <w:p w14:paraId="24C87E96" w14:textId="77777777" w:rsidR="00131239" w:rsidRPr="00F35C05" w:rsidRDefault="00131239" w:rsidP="00565F09">
      <w:pPr>
        <w:pStyle w:val="MBTbullets"/>
        <w:rPr>
          <w:i/>
          <w:iCs/>
          <w:color w:val="FF0000"/>
          <w:lang w:val="en-US"/>
        </w:rPr>
      </w:pPr>
      <w:r w:rsidRPr="00F35C05">
        <w:rPr>
          <w:i/>
          <w:iCs/>
          <w:color w:val="FF0000"/>
          <w:lang w:val="en-US"/>
        </w:rPr>
        <w:t xml:space="preserve">The Charter of Fundamental Rights </w:t>
      </w:r>
    </w:p>
    <w:p w14:paraId="3AACFB50" w14:textId="77777777" w:rsidR="00131239" w:rsidRPr="00F35C05" w:rsidRDefault="00131239" w:rsidP="00F35C05">
      <w:pPr>
        <w:pStyle w:val="MBT"/>
        <w:rPr>
          <w:i/>
          <w:iCs/>
          <w:color w:val="FF0000"/>
          <w:lang w:val="en-US"/>
        </w:rPr>
      </w:pPr>
      <w:r w:rsidRPr="00F35C05">
        <w:rPr>
          <w:i/>
          <w:iCs/>
          <w:color w:val="FF0000"/>
          <w:lang w:val="en-US"/>
        </w:rPr>
        <w:t xml:space="preserve">Tools within EU Legislation </w:t>
      </w:r>
    </w:p>
    <w:p w14:paraId="1931F618" w14:textId="77777777" w:rsidR="00131239" w:rsidRPr="00F35C05" w:rsidRDefault="00131239" w:rsidP="00F35C05">
      <w:pPr>
        <w:pStyle w:val="MBTbullets"/>
        <w:rPr>
          <w:i/>
          <w:iCs/>
          <w:color w:val="FF0000"/>
          <w:lang w:val="en-US"/>
        </w:rPr>
      </w:pPr>
      <w:r w:rsidRPr="00F35C05">
        <w:rPr>
          <w:i/>
          <w:iCs/>
          <w:color w:val="FF0000"/>
          <w:lang w:val="en-US"/>
        </w:rPr>
        <w:t xml:space="preserve">The EU Justice Scoreboard </w:t>
      </w:r>
    </w:p>
    <w:p w14:paraId="2CBABBE1" w14:textId="77777777" w:rsidR="00131239" w:rsidRPr="00F35C05" w:rsidRDefault="00131239" w:rsidP="00F35C05">
      <w:pPr>
        <w:pStyle w:val="MBTbullets"/>
        <w:rPr>
          <w:i/>
          <w:iCs/>
          <w:color w:val="FF0000"/>
          <w:lang w:val="en-US"/>
        </w:rPr>
      </w:pPr>
      <w:r w:rsidRPr="00F35C05">
        <w:rPr>
          <w:i/>
          <w:iCs/>
          <w:color w:val="FF0000"/>
          <w:lang w:val="en-US"/>
        </w:rPr>
        <w:t xml:space="preserve">The Cooperation and Verification Mechanism </w:t>
      </w:r>
    </w:p>
    <w:p w14:paraId="12C67351" w14:textId="77777777" w:rsidR="00131239" w:rsidRPr="00F35C05" w:rsidRDefault="00131239" w:rsidP="00F35C05">
      <w:pPr>
        <w:pStyle w:val="MBTbullets"/>
        <w:rPr>
          <w:i/>
          <w:iCs/>
          <w:color w:val="FF0000"/>
          <w:lang w:val="en-US"/>
        </w:rPr>
      </w:pPr>
      <w:r w:rsidRPr="00F35C05">
        <w:rPr>
          <w:i/>
          <w:iCs/>
          <w:color w:val="FF0000"/>
          <w:lang w:val="en-US"/>
        </w:rPr>
        <w:t xml:space="preserve">The Technical Support Instrument and its precedents </w:t>
      </w:r>
    </w:p>
    <w:p w14:paraId="6242B654" w14:textId="77777777" w:rsidR="00131239" w:rsidRPr="00F35C05" w:rsidRDefault="00131239" w:rsidP="00F35C05">
      <w:pPr>
        <w:pStyle w:val="MBTbullets"/>
        <w:rPr>
          <w:i/>
          <w:iCs/>
          <w:color w:val="FF0000"/>
          <w:lang w:val="en-US"/>
        </w:rPr>
      </w:pPr>
      <w:r w:rsidRPr="00F35C05">
        <w:rPr>
          <w:i/>
          <w:iCs/>
          <w:color w:val="FF0000"/>
          <w:lang w:val="en-US"/>
        </w:rPr>
        <w:t>The Protection of the EU Financial Interests</w:t>
      </w:r>
    </w:p>
    <w:p w14:paraId="34598E6E" w14:textId="77777777" w:rsidR="00131239" w:rsidRPr="00F35C05" w:rsidRDefault="00131239" w:rsidP="00F35C05">
      <w:pPr>
        <w:pStyle w:val="MBTbullets"/>
        <w:rPr>
          <w:i/>
          <w:iCs/>
          <w:color w:val="FF0000"/>
          <w:lang w:val="en-US"/>
        </w:rPr>
      </w:pPr>
      <w:r w:rsidRPr="00F35C05">
        <w:rPr>
          <w:i/>
          <w:iCs/>
          <w:color w:val="FF0000"/>
          <w:lang w:val="en-US"/>
        </w:rPr>
        <w:t>Rule of Law Conditionality Regulation</w:t>
      </w:r>
    </w:p>
    <w:p w14:paraId="6AB9EA99" w14:textId="5094189B" w:rsidR="00131239" w:rsidRDefault="00F31FF6" w:rsidP="00F35C05">
      <w:pPr>
        <w:pStyle w:val="MBT"/>
        <w:rPr>
          <w:i/>
          <w:iCs/>
          <w:color w:val="FF0000"/>
          <w:lang w:val="en-US"/>
        </w:rPr>
      </w:pPr>
      <w:r>
        <w:rPr>
          <w:i/>
          <w:iCs/>
          <w:color w:val="FF0000"/>
          <w:lang w:val="en-US"/>
        </w:rPr>
        <w:t xml:space="preserve">At national level, </w:t>
      </w:r>
      <w:r w:rsidRPr="00565F09">
        <w:rPr>
          <w:i/>
          <w:iCs/>
          <w:color w:val="FF0000"/>
          <w:lang w:val="en-US"/>
        </w:rPr>
        <w:t xml:space="preserve">the </w:t>
      </w:r>
      <w:proofErr w:type="gramStart"/>
      <w:r w:rsidRPr="00565F09">
        <w:rPr>
          <w:i/>
          <w:iCs/>
          <w:color w:val="FF0000"/>
          <w:lang w:val="en-US"/>
        </w:rPr>
        <w:t>existence</w:t>
      </w:r>
      <w:proofErr w:type="gramEnd"/>
      <w:r w:rsidRPr="00565F09">
        <w:rPr>
          <w:i/>
          <w:iCs/>
          <w:color w:val="FF0000"/>
          <w:lang w:val="en-US"/>
        </w:rPr>
        <w:t xml:space="preserve"> and the use of rule of law instruments to face dissensus threatening democratic principles </w:t>
      </w:r>
      <w:r>
        <w:rPr>
          <w:i/>
          <w:iCs/>
          <w:color w:val="FF0000"/>
          <w:lang w:val="en-US"/>
        </w:rPr>
        <w:t>might be established in national Constitutions or national toolkits</w:t>
      </w:r>
      <w:r w:rsidR="00131239" w:rsidRPr="00F35C05">
        <w:rPr>
          <w:i/>
          <w:iCs/>
          <w:color w:val="FF0000"/>
          <w:lang w:val="en-US"/>
        </w:rPr>
        <w:t>. Please try to identify measures that either have a similar function to those at EU level or implement the EU legislative measures at national level.</w:t>
      </w:r>
      <w:r w:rsidRPr="00F35C05">
        <w:rPr>
          <w:i/>
          <w:iCs/>
          <w:color w:val="FF0000"/>
          <w:lang w:val="en-US"/>
        </w:rPr>
        <w:t xml:space="preserve"> </w:t>
      </w:r>
    </w:p>
    <w:p w14:paraId="5993EF21" w14:textId="77777777" w:rsidR="002B3E2C" w:rsidRPr="00F35C05" w:rsidRDefault="002B3E2C" w:rsidP="00F35C05">
      <w:pPr>
        <w:pStyle w:val="MBT"/>
        <w:rPr>
          <w:i/>
          <w:iCs/>
          <w:color w:val="FF0000"/>
          <w:lang w:val="en-US"/>
        </w:rPr>
      </w:pPr>
    </w:p>
    <w:p w14:paraId="7969EB36" w14:textId="77777777" w:rsidR="00131239" w:rsidRPr="00A84EC8" w:rsidRDefault="00131239" w:rsidP="00F35C05">
      <w:pPr>
        <w:pStyle w:val="MBT"/>
        <w:rPr>
          <w:lang w:eastAsia="ar-SA"/>
        </w:rPr>
      </w:pPr>
      <w:r w:rsidRPr="00A84EC8">
        <w:rPr>
          <w:lang w:eastAsia="ar-SA"/>
        </w:rPr>
        <w:t>Italy is a not federal State, but it has a certain degree of decentralization. The Italian political and legal system is based on the separation of powers between the legislature, the executive, and the judiciary.</w:t>
      </w:r>
      <w:r w:rsidRPr="00A84EC8">
        <w:t xml:space="preserve"> </w:t>
      </w:r>
      <w:r w:rsidRPr="00A84EC8">
        <w:rPr>
          <w:lang w:eastAsia="ar-SA"/>
        </w:rPr>
        <w:t>The principle of the rule of law is enshrined in the Italian Constitution, regulating the relation between the state and its citizens, including the definition of the powers of the state and the fundamental rights and duties of those living under its jurisdiction.</w:t>
      </w:r>
    </w:p>
    <w:p w14:paraId="6F716B94" w14:textId="77777777" w:rsidR="00131239" w:rsidRPr="00A84EC8" w:rsidRDefault="00131239" w:rsidP="00F35C05">
      <w:pPr>
        <w:pStyle w:val="MBT"/>
        <w:rPr>
          <w:lang w:eastAsia="ar-SA"/>
        </w:rPr>
      </w:pPr>
      <w:r w:rsidRPr="00A84EC8">
        <w:rPr>
          <w:lang w:eastAsia="ar-SA"/>
        </w:rPr>
        <w:t xml:space="preserve">When exercising </w:t>
      </w:r>
      <w:r>
        <w:rPr>
          <w:lang w:eastAsia="ar-SA"/>
        </w:rPr>
        <w:t>their</w:t>
      </w:r>
      <w:r w:rsidRPr="00A84EC8">
        <w:rPr>
          <w:lang w:eastAsia="ar-SA"/>
        </w:rPr>
        <w:t xml:space="preserve"> legislative and executive powers, public authorities must conform to the procedures and fundamental guarantees laid down by the Constitution. No legal norm or rule can be issued by ordinary or secondary law whose content is contrary to the general principles and norms set forth in the Constitution. Such limitations, to which the rule of law apply, reduce the possibility of arbitrary exercise of legislative power and guarantee that the latter will respect the fundamental rights of the citizens. </w:t>
      </w:r>
      <w:r>
        <w:rPr>
          <w:lang w:eastAsia="ar-SA"/>
        </w:rPr>
        <w:t xml:space="preserve"> </w:t>
      </w:r>
    </w:p>
    <w:p w14:paraId="6D38FB6F" w14:textId="77777777" w:rsidR="00131239" w:rsidRDefault="00131239" w:rsidP="00F35C05">
      <w:pPr>
        <w:pStyle w:val="MBT"/>
        <w:rPr>
          <w:lang w:eastAsia="ar-SA"/>
        </w:rPr>
      </w:pPr>
      <w:r w:rsidRPr="00E841B5">
        <w:rPr>
          <w:lang w:eastAsia="ar-SA"/>
        </w:rPr>
        <w:t xml:space="preserve">Under </w:t>
      </w:r>
      <w:r>
        <w:rPr>
          <w:lang w:eastAsia="ar-SA"/>
        </w:rPr>
        <w:t>EU law, the European Union</w:t>
      </w:r>
      <w:r w:rsidRPr="00E841B5">
        <w:rPr>
          <w:lang w:eastAsia="ar-SA"/>
        </w:rPr>
        <w:t xml:space="preserve"> has two main options to tackle rule of law violations in the</w:t>
      </w:r>
      <w:r>
        <w:rPr>
          <w:lang w:eastAsia="ar-SA"/>
        </w:rPr>
        <w:t xml:space="preserve"> </w:t>
      </w:r>
      <w:r w:rsidRPr="00E841B5">
        <w:rPr>
          <w:lang w:eastAsia="ar-SA"/>
        </w:rPr>
        <w:t>Member States. It may initiate infringement proceedings or trigger the mechanism of Article 7 of</w:t>
      </w:r>
      <w:r>
        <w:rPr>
          <w:lang w:eastAsia="ar-SA"/>
        </w:rPr>
        <w:t xml:space="preserve"> </w:t>
      </w:r>
      <w:r w:rsidRPr="00E841B5">
        <w:rPr>
          <w:lang w:eastAsia="ar-SA"/>
        </w:rPr>
        <w:t>the Treaty on European Union, relying predominantly on decisions by political institutions</w:t>
      </w:r>
      <w:r>
        <w:rPr>
          <w:lang w:eastAsia="ar-SA"/>
        </w:rPr>
        <w:t xml:space="preserve">. </w:t>
      </w:r>
    </w:p>
    <w:p w14:paraId="3E12B61A" w14:textId="4C491C7E" w:rsidR="00131239" w:rsidRDefault="00131239" w:rsidP="00F35C05">
      <w:pPr>
        <w:pStyle w:val="MBT"/>
        <w:rPr>
          <w:lang w:eastAsia="ar-SA"/>
        </w:rPr>
      </w:pPr>
      <w:r>
        <w:rPr>
          <w:lang w:eastAsia="ar-SA"/>
        </w:rPr>
        <w:lastRenderedPageBreak/>
        <w:t xml:space="preserve">At a national level, potential threats to the rule of law through dissenting actions might come from different types of actors including think tanks, civil society, regional states, political parties, political representatives in constitutional/legal debates or within national parliaments. It is to be said, however, that over the past decades the main threats to democracy, fundamental </w:t>
      </w:r>
      <w:proofErr w:type="gramStart"/>
      <w:r>
        <w:rPr>
          <w:lang w:eastAsia="ar-SA"/>
        </w:rPr>
        <w:t>rights</w:t>
      </w:r>
      <w:proofErr w:type="gramEnd"/>
      <w:r>
        <w:rPr>
          <w:lang w:eastAsia="ar-SA"/>
        </w:rPr>
        <w:t xml:space="preserve"> and the rule of law in Italy has come from populist political movements that have found their way into the Italian parliament through Parliamentary elections. The Italian political Party ‘Lega Nord’ (Northern League), for instance, has attempted to introduce laws restrictive of fundamental rights and asylum rights, while increasing popular dissensus against the European Union. Similar, the populist ‘Movement Cinque Stelle’ (Movement Five Star hereafter MVS) has attempted to increase dissensus against the representatives of the state. </w:t>
      </w:r>
    </w:p>
    <w:p w14:paraId="6EE0E91F" w14:textId="77777777" w:rsidR="00131239" w:rsidRPr="00A84EC8" w:rsidRDefault="00131239" w:rsidP="00F35C05">
      <w:pPr>
        <w:pStyle w:val="MBT"/>
        <w:rPr>
          <w:lang w:eastAsia="ar-SA"/>
        </w:rPr>
      </w:pPr>
      <w:r>
        <w:rPr>
          <w:lang w:eastAsia="ar-SA"/>
        </w:rPr>
        <w:t xml:space="preserve">Yet, in </w:t>
      </w:r>
      <w:r w:rsidRPr="00A84EC8">
        <w:rPr>
          <w:lang w:eastAsia="ar-SA"/>
        </w:rPr>
        <w:t>Italy,</w:t>
      </w:r>
      <w:r>
        <w:rPr>
          <w:lang w:eastAsia="ar-SA"/>
        </w:rPr>
        <w:t xml:space="preserve"> </w:t>
      </w:r>
      <w:r w:rsidRPr="00A84EC8">
        <w:rPr>
          <w:lang w:eastAsia="ar-SA"/>
        </w:rPr>
        <w:t>there is no established rule of law</w:t>
      </w:r>
      <w:r>
        <w:rPr>
          <w:lang w:eastAsia="ar-SA"/>
        </w:rPr>
        <w:t xml:space="preserve"> toolkit to address threats to the rule of law within the national system. The protection and respect of the rule of law and fundamental rights is embedded in the Italian Constitution. Threats to the rule of law are normally addressed within the power conferred to the Constitutional Court and the judiciary.</w:t>
      </w:r>
      <w:r w:rsidRPr="00A84EC8">
        <w:rPr>
          <w:lang w:eastAsia="ar-SA"/>
        </w:rPr>
        <w:t xml:space="preserve"> Laws that violate the rights, rules and definition of powers set forth in the Constitution may </w:t>
      </w:r>
      <w:r>
        <w:rPr>
          <w:lang w:eastAsia="ar-SA"/>
        </w:rPr>
        <w:t xml:space="preserve">indeed </w:t>
      </w:r>
      <w:r w:rsidRPr="00A84EC8">
        <w:rPr>
          <w:lang w:eastAsia="ar-SA"/>
        </w:rPr>
        <w:t xml:space="preserve">be declared invalid by the Italian Constitutional Court. </w:t>
      </w:r>
    </w:p>
    <w:p w14:paraId="455C36C2" w14:textId="77777777" w:rsidR="00131239" w:rsidRPr="00311522" w:rsidRDefault="00131239" w:rsidP="00F35C05">
      <w:pPr>
        <w:pStyle w:val="MBT"/>
        <w:rPr>
          <w:color w:val="FF0000"/>
        </w:rPr>
      </w:pPr>
    </w:p>
    <w:p w14:paraId="7DAD8AE9" w14:textId="77777777" w:rsidR="00131239" w:rsidRPr="00A84EC8" w:rsidRDefault="00131239" w:rsidP="00AD3D7D">
      <w:pPr>
        <w:pStyle w:val="MH1"/>
        <w:rPr>
          <w:lang w:val="en-US"/>
        </w:rPr>
      </w:pPr>
      <w:r w:rsidRPr="00A84EC8">
        <w:rPr>
          <w:lang w:val="en-US"/>
        </w:rPr>
        <w:lastRenderedPageBreak/>
        <w:t xml:space="preserve"> </w:t>
      </w:r>
      <w:bookmarkStart w:id="6" w:name="_Toc131597977"/>
      <w:r w:rsidRPr="00A84EC8">
        <w:rPr>
          <w:lang w:val="en-US"/>
        </w:rPr>
        <w:t xml:space="preserve">The Instruments Provided by Italian </w:t>
      </w:r>
      <w:proofErr w:type="gramStart"/>
      <w:r w:rsidRPr="00A84EC8">
        <w:rPr>
          <w:lang w:val="en-US"/>
        </w:rPr>
        <w:t>law</w:t>
      </w:r>
      <w:bookmarkEnd w:id="6"/>
      <w:proofErr w:type="gramEnd"/>
    </w:p>
    <w:p w14:paraId="05B71611" w14:textId="03207974" w:rsidR="00131239" w:rsidRPr="00F35C05" w:rsidRDefault="00131239" w:rsidP="00F35C05">
      <w:pPr>
        <w:pStyle w:val="MBT"/>
        <w:rPr>
          <w:i/>
          <w:iCs/>
          <w:color w:val="FF0000"/>
          <w:lang w:val="en-US"/>
        </w:rPr>
      </w:pPr>
      <w:bookmarkStart w:id="7" w:name="_Hlk131493840"/>
      <w:r w:rsidRPr="00F35C05">
        <w:rPr>
          <w:i/>
          <w:iCs/>
          <w:color w:val="FF0000"/>
          <w:lang w:val="en-US"/>
        </w:rPr>
        <w:t>The principle of the rule of law includes the principle of legality, which implies a transparent, accountable, democratic, and pluralistic process for enacting laws</w:t>
      </w:r>
      <w:r w:rsidR="007B2E58">
        <w:rPr>
          <w:i/>
          <w:iCs/>
          <w:color w:val="FF0000"/>
          <w:lang w:val="en-US"/>
        </w:rPr>
        <w:t xml:space="preserve"> and </w:t>
      </w:r>
      <w:r w:rsidR="007B2E58" w:rsidRPr="007B2E58">
        <w:rPr>
          <w:i/>
          <w:iCs/>
          <w:color w:val="FF0000"/>
          <w:lang w:val="en-US"/>
        </w:rPr>
        <w:t xml:space="preserve">respect </w:t>
      </w:r>
      <w:r w:rsidR="007B2E58">
        <w:rPr>
          <w:i/>
          <w:iCs/>
          <w:color w:val="FF0000"/>
          <w:lang w:val="en-US"/>
        </w:rPr>
        <w:t>of</w:t>
      </w:r>
      <w:r w:rsidR="007B2E58" w:rsidRPr="007B2E58">
        <w:rPr>
          <w:i/>
          <w:iCs/>
          <w:color w:val="FF0000"/>
          <w:lang w:val="en-US"/>
        </w:rPr>
        <w:t xml:space="preserve"> fundamental rights</w:t>
      </w:r>
      <w:r w:rsidR="007B2E58">
        <w:rPr>
          <w:i/>
          <w:iCs/>
          <w:color w:val="FF0000"/>
          <w:lang w:val="en-US"/>
        </w:rPr>
        <w:t xml:space="preserve"> and equality before the law</w:t>
      </w:r>
      <w:r w:rsidRPr="00F35C05">
        <w:rPr>
          <w:i/>
          <w:iCs/>
          <w:color w:val="FF0000"/>
          <w:lang w:val="en-US"/>
        </w:rPr>
        <w:t>; legal certainty and prohibition of arbitrariness of the executive powers; independent and impartial courts; effective judicial review.</w:t>
      </w:r>
      <w:r w:rsidRPr="00F35C05">
        <w:rPr>
          <w:rStyle w:val="FootnoteReference"/>
          <w:i/>
          <w:iCs/>
          <w:color w:val="FF0000"/>
          <w:lang w:val="en-US"/>
        </w:rPr>
        <w:footnoteReference w:id="1"/>
      </w:r>
    </w:p>
    <w:p w14:paraId="5BD642BF" w14:textId="77777777" w:rsidR="00131239" w:rsidRPr="00F35C05" w:rsidRDefault="00131239" w:rsidP="00F35C05">
      <w:pPr>
        <w:pStyle w:val="MBT"/>
        <w:rPr>
          <w:i/>
          <w:iCs/>
          <w:color w:val="FF0000"/>
          <w:lang w:val="en-US"/>
        </w:rPr>
      </w:pPr>
      <w:r w:rsidRPr="00F35C05">
        <w:rPr>
          <w:i/>
          <w:iCs/>
          <w:color w:val="FF0000"/>
          <w:lang w:val="en-US"/>
        </w:rPr>
        <w:t xml:space="preserve">Please explain how these principles are protected in national law. Please focus on key examples of the use of constitutional/legislative/governance instruments in situations of mounting dissensus. In section 2.5, please focus on the role, if any, of national courts.  </w:t>
      </w:r>
    </w:p>
    <w:bookmarkEnd w:id="7"/>
    <w:p w14:paraId="0B4FD37B" w14:textId="7E20E15A" w:rsidR="003D2444" w:rsidRPr="00083CC5" w:rsidRDefault="00131239" w:rsidP="003D2444">
      <w:pPr>
        <w:pStyle w:val="MH2"/>
        <w:jc w:val="left"/>
      </w:pPr>
      <w:r w:rsidRPr="00A84EC8">
        <w:t xml:space="preserve">Protection against threats to democratic principles </w:t>
      </w:r>
    </w:p>
    <w:p w14:paraId="0ECDC6B4" w14:textId="229C485B" w:rsidR="003D2444" w:rsidRPr="00083CC5" w:rsidRDefault="003D2444" w:rsidP="00F35C05">
      <w:pPr>
        <w:pStyle w:val="MBT"/>
        <w:rPr>
          <w:i/>
          <w:iCs/>
          <w:color w:val="FF0000"/>
          <w:lang w:val="en-US"/>
        </w:rPr>
      </w:pPr>
      <w:bookmarkStart w:id="8" w:name="_Hlk131493918"/>
      <w:r w:rsidRPr="00083CC5">
        <w:rPr>
          <w:i/>
          <w:iCs/>
          <w:color w:val="FF0000"/>
          <w:lang w:val="en-US"/>
        </w:rPr>
        <w:t xml:space="preserve">This section should be devoted to any attempts to affect the institutional structure or balance of powers. </w:t>
      </w:r>
    </w:p>
    <w:bookmarkEnd w:id="8"/>
    <w:p w14:paraId="29DC6090" w14:textId="5D9A9833" w:rsidR="00131239" w:rsidRPr="00F35C05" w:rsidRDefault="00131239" w:rsidP="00F35C05">
      <w:pPr>
        <w:pStyle w:val="MBT"/>
      </w:pPr>
      <w:r w:rsidRPr="00F35C05">
        <w:t xml:space="preserve">Over the past two decades, Italy has experienced an increase in populist political movements of right or extreme right faction which have attempted, to different extent, to interfere with the institutional and democratic asset of the Italian system. </w:t>
      </w:r>
    </w:p>
    <w:p w14:paraId="067135A7" w14:textId="77777777" w:rsidR="00131239" w:rsidRPr="00F35C05" w:rsidRDefault="00131239" w:rsidP="00F35C05">
      <w:pPr>
        <w:pStyle w:val="MBT"/>
      </w:pPr>
      <w:r w:rsidRPr="00F35C05">
        <w:t xml:space="preserve">These are the coalition of Berlusconi-led Forza Italia ( hereafter FI),  which governed  in Italy together with </w:t>
      </w:r>
      <w:proofErr w:type="spellStart"/>
      <w:r w:rsidRPr="00F35C05">
        <w:t>Alleanza</w:t>
      </w:r>
      <w:proofErr w:type="spellEnd"/>
      <w:r w:rsidRPr="00F35C05">
        <w:t xml:space="preserve"> Nazionale ( hereafter AN) and Lega Nord (Northern League led by Matteo </w:t>
      </w:r>
      <w:proofErr w:type="spellStart"/>
      <w:r w:rsidRPr="00F35C05">
        <w:t>Salvini</w:t>
      </w:r>
      <w:proofErr w:type="spellEnd"/>
      <w:r w:rsidRPr="00F35C05">
        <w:t xml:space="preserve">) between 2001–2006 and then in 2008–2011; the MVS and Lega Nord  coalition in 2018–2019, and the current right-wing coalition of Fratelli </w:t>
      </w:r>
      <w:proofErr w:type="spellStart"/>
      <w:r w:rsidRPr="00F35C05">
        <w:t>D’Italia</w:t>
      </w:r>
      <w:proofErr w:type="spellEnd"/>
      <w:r w:rsidRPr="00F35C05">
        <w:t xml:space="preserve"> (Lead by the actual Italian Prime Minister </w:t>
      </w:r>
      <w:proofErr w:type="spellStart"/>
      <w:r w:rsidRPr="00F35C05">
        <w:t>Giorgia</w:t>
      </w:r>
      <w:proofErr w:type="spellEnd"/>
      <w:r w:rsidRPr="00F35C05">
        <w:t xml:space="preserve"> </w:t>
      </w:r>
      <w:proofErr w:type="spellStart"/>
      <w:r w:rsidRPr="00F35C05">
        <w:t>Meloni</w:t>
      </w:r>
      <w:proofErr w:type="spellEnd"/>
      <w:r w:rsidRPr="00F35C05">
        <w:t>), Lega Nord and Forza Italia. These parties displayed radically different forms of populism, and changed their stance over time,</w:t>
      </w:r>
      <w:r w:rsidRPr="00F31FF6">
        <w:rPr>
          <w:rStyle w:val="FootnoteReference"/>
          <w:rFonts w:ascii="Arial" w:hAnsi="Arial"/>
          <w:sz w:val="22"/>
        </w:rPr>
        <w:footnoteReference w:id="2"/>
      </w:r>
      <w:r w:rsidRPr="00F35C05">
        <w:t xml:space="preserve"> however, they all displayed a certain degree of dissensus against limits to the executive power and the democratic structure of the Italian State. </w:t>
      </w:r>
    </w:p>
    <w:p w14:paraId="40240A21" w14:textId="0DABC080" w:rsidR="00131239" w:rsidRPr="00F35C05" w:rsidRDefault="00131239" w:rsidP="00F35C05">
      <w:pPr>
        <w:pStyle w:val="MBT"/>
      </w:pPr>
      <w:r w:rsidRPr="00F35C05">
        <w:t xml:space="preserve">The former deputy Prime Minister Matteo </w:t>
      </w:r>
      <w:proofErr w:type="spellStart"/>
      <w:r w:rsidRPr="00F35C05">
        <w:t>Salvini</w:t>
      </w:r>
      <w:proofErr w:type="spellEnd"/>
      <w:r w:rsidRPr="00F35C05">
        <w:t>, for instance, marked a ‘period of democratic regression initiated by his demagoguery, which uses the federal government as a tool to incrementally manipulate the Italian democracy from within</w:t>
      </w:r>
      <w:r w:rsidRPr="00F31FF6">
        <w:rPr>
          <w:rStyle w:val="FootnoteReference"/>
          <w:rFonts w:ascii="Arial" w:hAnsi="Arial"/>
          <w:sz w:val="22"/>
        </w:rPr>
        <w:footnoteReference w:id="3"/>
      </w:r>
      <w:r w:rsidRPr="00F35C05">
        <w:t xml:space="preserve">. By way of example, in 2015 </w:t>
      </w:r>
      <w:proofErr w:type="spellStart"/>
      <w:r w:rsidRPr="00F35C05">
        <w:t>Salvini</w:t>
      </w:r>
      <w:proofErr w:type="spellEnd"/>
      <w:r w:rsidRPr="00F35C05">
        <w:t xml:space="preserve"> called its followers on twitter to murder a judge, and in 2018 he attempted to place Prof. Paolo Savona, a declared Eurosceptic, as Ministry of Finance </w:t>
      </w:r>
      <w:r w:rsidR="007E2DFE">
        <w:t xml:space="preserve">which could have risked </w:t>
      </w:r>
      <w:r w:rsidRPr="00F35C05">
        <w:t xml:space="preserve">passing </w:t>
      </w:r>
      <w:r w:rsidR="007E2DFE">
        <w:t>Ministerial Decrees</w:t>
      </w:r>
      <w:r w:rsidR="007E2DFE" w:rsidRPr="00F35C05">
        <w:t xml:space="preserve"> </w:t>
      </w:r>
      <w:r w:rsidRPr="00F35C05">
        <w:t xml:space="preserve">infringing upon European budget rules. </w:t>
      </w:r>
      <w:proofErr w:type="spellStart"/>
      <w:r w:rsidRPr="00F35C05">
        <w:t>Salvini’s</w:t>
      </w:r>
      <w:proofErr w:type="spellEnd"/>
      <w:r w:rsidRPr="00F35C05">
        <w:t xml:space="preserve"> policy positions indeed align with that of most far-right and Eurosceptic populists within Europe and remains supportive of other leaders that actively undermine </w:t>
      </w:r>
      <w:r w:rsidR="00DB2053">
        <w:t>the rule of law</w:t>
      </w:r>
      <w:r w:rsidRPr="00F35C05">
        <w:t xml:space="preserve"> </w:t>
      </w:r>
      <w:r w:rsidR="00DB2053">
        <w:t xml:space="preserve">as </w:t>
      </w:r>
      <w:r w:rsidRPr="00F35C05">
        <w:t xml:space="preserve">Viktor </w:t>
      </w:r>
      <w:proofErr w:type="spellStart"/>
      <w:r w:rsidRPr="00F35C05">
        <w:t>Orban</w:t>
      </w:r>
      <w:proofErr w:type="spellEnd"/>
      <w:r w:rsidRPr="00F35C05">
        <w:t>.</w:t>
      </w:r>
    </w:p>
    <w:p w14:paraId="41A57240" w14:textId="1DF8F4D0" w:rsidR="00131239" w:rsidRPr="00F35C05" w:rsidRDefault="00131239" w:rsidP="00D21811">
      <w:pPr>
        <w:pStyle w:val="MBT"/>
      </w:pPr>
      <w:r w:rsidRPr="00F35C05">
        <w:t>S</w:t>
      </w:r>
      <w:r w:rsidR="00E80983">
        <w:t>im</w:t>
      </w:r>
      <w:r w:rsidRPr="00F35C05">
        <w:t xml:space="preserve">ilarly, in March 2018, </w:t>
      </w:r>
      <w:proofErr w:type="spellStart"/>
      <w:r w:rsidRPr="00F35C05">
        <w:t>Giorgia</w:t>
      </w:r>
      <w:proofErr w:type="spellEnd"/>
      <w:r w:rsidRPr="00F35C05">
        <w:t xml:space="preserve"> </w:t>
      </w:r>
      <w:proofErr w:type="spellStart"/>
      <w:r w:rsidRPr="00F35C05">
        <w:t>Meloni</w:t>
      </w:r>
      <w:proofErr w:type="spellEnd"/>
      <w:r w:rsidRPr="00F35C05">
        <w:t xml:space="preserve">, now Prime Minister of Italy and leader of Fratelli </w:t>
      </w:r>
      <w:proofErr w:type="spellStart"/>
      <w:r w:rsidRPr="00F35C05">
        <w:t>d’Italia</w:t>
      </w:r>
      <w:proofErr w:type="spellEnd"/>
      <w:r w:rsidRPr="00F35C05">
        <w:t xml:space="preserve"> ( whose deepest cultural roots lie in neo-fascism ) sought</w:t>
      </w:r>
      <w:r w:rsidR="00D415C6">
        <w:t xml:space="preserve">, through a proposed law on Constitutional revision, </w:t>
      </w:r>
      <w:r w:rsidRPr="00F35C05">
        <w:t xml:space="preserve"> to enshrine in the Constitution the principle that Italian law always had precedence over European law and to amend </w:t>
      </w:r>
      <w:r w:rsidR="00F31FF6">
        <w:t>the</w:t>
      </w:r>
      <w:r w:rsidRPr="00F35C05">
        <w:t xml:space="preserve"> Italian Constitution </w:t>
      </w:r>
      <w:r w:rsidR="00F31FF6">
        <w:t xml:space="preserve">by </w:t>
      </w:r>
      <w:r w:rsidRPr="00F35C05">
        <w:t>envisaging the direct election of the President of the Republic</w:t>
      </w:r>
      <w:r w:rsidR="00D415C6">
        <w:t xml:space="preserve">. The proposed </w:t>
      </w:r>
      <w:r w:rsidRPr="00F35C05">
        <w:t xml:space="preserve"> </w:t>
      </w:r>
      <w:r w:rsidR="00D415C6">
        <w:t>law on Constitutional revision</w:t>
      </w:r>
      <w:r w:rsidR="00D415C6">
        <w:rPr>
          <w:rStyle w:val="FootnoteReference"/>
        </w:rPr>
        <w:footnoteReference w:id="4"/>
      </w:r>
      <w:r w:rsidR="00D415C6">
        <w:t xml:space="preserve"> also sought to </w:t>
      </w:r>
      <w:r w:rsidRPr="00F35C05">
        <w:t>centraliz</w:t>
      </w:r>
      <w:r w:rsidR="00D415C6">
        <w:t>e</w:t>
      </w:r>
      <w:r w:rsidRPr="00F35C05">
        <w:t xml:space="preserve"> in </w:t>
      </w:r>
      <w:r w:rsidR="00D415C6">
        <w:t xml:space="preserve">the President of the Republic </w:t>
      </w:r>
      <w:r w:rsidRPr="00F35C05">
        <w:t>both the control of the Government and of the Parliament</w:t>
      </w:r>
      <w:r w:rsidR="001F0C34">
        <w:t>, thereby threatening the checks and balances among the legislative and executive power.</w:t>
      </w:r>
      <w:r w:rsidR="00A6098D">
        <w:t xml:space="preserve"> </w:t>
      </w:r>
      <w:r w:rsidR="005B681E">
        <w:t xml:space="preserve">Specifically, the </w:t>
      </w:r>
      <w:r w:rsidR="00A6098D">
        <w:t>proposed law on Constitutional revision</w:t>
      </w:r>
      <w:r w:rsidR="005B681E">
        <w:t xml:space="preserve"> would have allowed</w:t>
      </w:r>
      <w:r w:rsidR="00A6098D">
        <w:t xml:space="preserve"> the President of the Republic </w:t>
      </w:r>
      <w:r w:rsidR="005B681E">
        <w:t xml:space="preserve">to </w:t>
      </w:r>
      <w:r w:rsidR="005B681E" w:rsidRPr="005B681E">
        <w:t>chair the Council of Ministers</w:t>
      </w:r>
      <w:r w:rsidR="005B681E">
        <w:t>; to</w:t>
      </w:r>
      <w:r w:rsidR="005B681E" w:rsidRPr="005B681E">
        <w:t xml:space="preserve"> appoint the </w:t>
      </w:r>
      <w:r w:rsidR="005B681E">
        <w:t>P</w:t>
      </w:r>
      <w:r w:rsidR="005B681E" w:rsidRPr="005B681E">
        <w:t xml:space="preserve">rime </w:t>
      </w:r>
      <w:r w:rsidR="005B681E">
        <w:t>M</w:t>
      </w:r>
      <w:r w:rsidR="005B681E" w:rsidRPr="005B681E">
        <w:t>inister</w:t>
      </w:r>
      <w:r w:rsidR="005B681E">
        <w:t>;</w:t>
      </w:r>
      <w:r w:rsidR="005B681E" w:rsidRPr="005B681E">
        <w:t xml:space="preserve"> and be able to appoint and dismiss </w:t>
      </w:r>
      <w:r w:rsidR="005B681E">
        <w:t>Mi</w:t>
      </w:r>
      <w:r w:rsidR="005B681E" w:rsidRPr="005B681E">
        <w:t>nisters</w:t>
      </w:r>
      <w:r w:rsidR="005B681E">
        <w:t xml:space="preserve">. According to constitutional scholars, the proposed law was susceptible to lead Italy into an </w:t>
      </w:r>
      <w:r w:rsidR="005B681E" w:rsidRPr="005B681E">
        <w:t xml:space="preserve">authoritarian regime, where the President of the Republic loses his role as guarantor of the Constitution </w:t>
      </w:r>
      <w:r w:rsidR="005B681E">
        <w:t>and</w:t>
      </w:r>
      <w:r w:rsidR="005B681E" w:rsidRPr="005B681E">
        <w:t xml:space="preserve"> </w:t>
      </w:r>
      <w:r w:rsidR="005B681E">
        <w:t>the</w:t>
      </w:r>
      <w:r w:rsidR="005B681E" w:rsidRPr="005B681E">
        <w:t xml:space="preserve"> Parliament risk being</w:t>
      </w:r>
      <w:r w:rsidR="005B681E">
        <w:t xml:space="preserve"> subject to the will of the political party to </w:t>
      </w:r>
      <w:r w:rsidR="00D21811">
        <w:t>which</w:t>
      </w:r>
      <w:r w:rsidR="005B681E">
        <w:t xml:space="preserve"> the President of the Republic is Member.</w:t>
      </w:r>
      <w:r w:rsidR="00D21811">
        <w:t xml:space="preserve"> While the proposed draft law on Constitutional revision did not </w:t>
      </w:r>
      <w:r w:rsidR="00D21811">
        <w:lastRenderedPageBreak/>
        <w:t xml:space="preserve">pass into law (see explanation below), the new Prime Minister </w:t>
      </w:r>
      <w:proofErr w:type="spellStart"/>
      <w:r w:rsidR="00D21811">
        <w:t>Meloni</w:t>
      </w:r>
      <w:proofErr w:type="spellEnd"/>
      <w:r w:rsidR="00D21811">
        <w:t xml:space="preserve"> has very recently reopened debates concerning the direct election of the President of the Republic and Constitutional amendments similar to the law on constitutional revision proposed in 2018.</w:t>
      </w:r>
      <w:r w:rsidR="001F0C34">
        <w:t xml:space="preserve"> While it is too early to assess the true impact of the recent election of </w:t>
      </w:r>
      <w:proofErr w:type="spellStart"/>
      <w:r w:rsidR="001F0C34">
        <w:t>Meloni</w:t>
      </w:r>
      <w:proofErr w:type="spellEnd"/>
      <w:r w:rsidR="001F0C34">
        <w:t xml:space="preserve"> as Prime Minister over the Constitutional asset of the Italian State, </w:t>
      </w:r>
      <w:r w:rsidRPr="00F35C05">
        <w:t xml:space="preserve"> to date Italy has resisted democratic backsliding primarily thanks to the democratic guarantees foresaw in the Italian Constitution.</w:t>
      </w:r>
    </w:p>
    <w:p w14:paraId="031CC810" w14:textId="218EDA15" w:rsidR="00131239" w:rsidRPr="00F35C05" w:rsidRDefault="001F0C34" w:rsidP="00F35C05">
      <w:pPr>
        <w:pStyle w:val="MBT"/>
      </w:pPr>
      <w:r>
        <w:t xml:space="preserve">Specifically, </w:t>
      </w:r>
      <w:r w:rsidR="00131239" w:rsidRPr="00F35C05">
        <w:t>Italy has a system of representative democracy, whereby the people exercise sovereign power through the election of the National Parliament (Article 1 Constitution). Yet, popular sovereignty is not exhausted in the national parliament, but is also expressed through the investiture of the representative bodies of territorial autonomies (regions, provinces/metropolitan cities, municipalities)</w:t>
      </w:r>
      <w:r w:rsidR="00131239" w:rsidRPr="00F31FF6">
        <w:rPr>
          <w:rStyle w:val="FootnoteReference"/>
          <w:rFonts w:ascii="Arial" w:hAnsi="Arial"/>
          <w:sz w:val="22"/>
        </w:rPr>
        <w:footnoteReference w:id="5"/>
      </w:r>
      <w:r w:rsidR="00131239" w:rsidRPr="00F35C05">
        <w:t>. The representative nature of the Italian system does not, however, exclude the presence of some direct democracy institutions</w:t>
      </w:r>
      <w:r w:rsidR="000642F6">
        <w:t>, including</w:t>
      </w:r>
      <w:r w:rsidR="00131239" w:rsidRPr="00F35C05">
        <w:t xml:space="preserve"> the right of petition and, above all, the referendum.</w:t>
      </w:r>
    </w:p>
    <w:p w14:paraId="14887CB6" w14:textId="56D5C87E" w:rsidR="00131239" w:rsidRPr="00F35C05" w:rsidRDefault="00131239" w:rsidP="00F35C05">
      <w:pPr>
        <w:pStyle w:val="MBT"/>
      </w:pPr>
      <w:r w:rsidRPr="00F35C05">
        <w:t>Popular sovereignty</w:t>
      </w:r>
      <w:r w:rsidR="003D2444">
        <w:t>,</w:t>
      </w:r>
      <w:r w:rsidRPr="00F35C05">
        <w:t xml:space="preserve"> and the assemblies representing it</w:t>
      </w:r>
      <w:r w:rsidR="003D2444">
        <w:t>,</w:t>
      </w:r>
      <w:r w:rsidRPr="00F35C05">
        <w:t xml:space="preserve"> is generally formed within the Parliament according to the majority principle. To counterbalance risks to unlimited majority power and protect the democratic principle, the Italian Constitution foresees mechanisms aimed at guarantying the respect of Constitutional rules, </w:t>
      </w:r>
      <w:proofErr w:type="gramStart"/>
      <w:r w:rsidRPr="00F35C05">
        <w:t>minorities</w:t>
      </w:r>
      <w:proofErr w:type="gramEnd"/>
      <w:r w:rsidRPr="00F35C05">
        <w:t xml:space="preserve"> and fundamental rights. These include:</w:t>
      </w:r>
    </w:p>
    <w:p w14:paraId="5324FE8B" w14:textId="26B0312F" w:rsidR="00131239" w:rsidRPr="00F35C05" w:rsidRDefault="00131239" w:rsidP="00F35C05">
      <w:pPr>
        <w:pStyle w:val="MBTbullets"/>
      </w:pPr>
      <w:r w:rsidRPr="00F35C05">
        <w:t xml:space="preserve">the monitoring role of the President of the Republic over the respect of the Constitution by the Government and the </w:t>
      </w:r>
      <w:proofErr w:type="gramStart"/>
      <w:r w:rsidRPr="00F35C05">
        <w:t>Parliament</w:t>
      </w:r>
      <w:r w:rsidR="00A416C5">
        <w:t>;</w:t>
      </w:r>
      <w:proofErr w:type="gramEnd"/>
    </w:p>
    <w:p w14:paraId="4D46080F" w14:textId="66162E96" w:rsidR="00131239" w:rsidRPr="00F35C05" w:rsidRDefault="00131239" w:rsidP="00F35C05">
      <w:pPr>
        <w:pStyle w:val="MBTbullets"/>
      </w:pPr>
      <w:r w:rsidRPr="00F35C05">
        <w:t xml:space="preserve">the enhanced procedure of constitutional </w:t>
      </w:r>
      <w:proofErr w:type="gramStart"/>
      <w:r w:rsidRPr="00F35C05">
        <w:t>revision</w:t>
      </w:r>
      <w:r w:rsidR="00A416C5">
        <w:t>;</w:t>
      </w:r>
      <w:proofErr w:type="gramEnd"/>
    </w:p>
    <w:p w14:paraId="12B00EDA" w14:textId="1295A4B6" w:rsidR="00131239" w:rsidRPr="00F35C05" w:rsidRDefault="00131239" w:rsidP="00F35C05">
      <w:pPr>
        <w:pStyle w:val="MBTbullets"/>
      </w:pPr>
      <w:r w:rsidRPr="00F35C05">
        <w:t>the review of constitutional legitimacy of laws and acts having force of law by the Constitutional Court (see section 2.5</w:t>
      </w:r>
      <w:proofErr w:type="gramStart"/>
      <w:r w:rsidRPr="00F35C05">
        <w:t>)</w:t>
      </w:r>
      <w:r w:rsidR="00A416C5">
        <w:t>;</w:t>
      </w:r>
      <w:proofErr w:type="gramEnd"/>
    </w:p>
    <w:p w14:paraId="07368E27" w14:textId="71CE8D12" w:rsidR="00131239" w:rsidRDefault="00131239" w:rsidP="00F35C05">
      <w:pPr>
        <w:pStyle w:val="MBTbullets"/>
      </w:pPr>
      <w:r w:rsidRPr="00F35C05">
        <w:t>the referendum, by which, under certain conditions and following certain procedures, citizens can decide on the repeal of a law or an act having the force of law (hereafter ‘repealing referendum’</w:t>
      </w:r>
      <w:proofErr w:type="gramStart"/>
      <w:r w:rsidRPr="00F35C05">
        <w:t>)</w:t>
      </w:r>
      <w:r w:rsidR="00A416C5">
        <w:t>;</w:t>
      </w:r>
      <w:proofErr w:type="gramEnd"/>
    </w:p>
    <w:p w14:paraId="1C06DB2F" w14:textId="7A476511" w:rsidR="00A416C5" w:rsidRPr="00F35C05" w:rsidRDefault="00A416C5" w:rsidP="00F35C05">
      <w:pPr>
        <w:pStyle w:val="MBTbullets"/>
      </w:pPr>
      <w:r>
        <w:t xml:space="preserve">the right to </w:t>
      </w:r>
      <w:proofErr w:type="gramStart"/>
      <w:r>
        <w:t>petition;</w:t>
      </w:r>
      <w:proofErr w:type="gramEnd"/>
    </w:p>
    <w:p w14:paraId="52F8102F" w14:textId="77777777" w:rsidR="00131239" w:rsidRPr="00F35C05" w:rsidRDefault="00131239" w:rsidP="00F35C05">
      <w:pPr>
        <w:pStyle w:val="MBTbullets"/>
      </w:pPr>
      <w:r w:rsidRPr="00F35C05">
        <w:t>the independence of the judiciary (see section 2.4).</w:t>
      </w:r>
    </w:p>
    <w:p w14:paraId="1191C6C0" w14:textId="35DE8EF4" w:rsidR="00131239" w:rsidRDefault="00131239" w:rsidP="00F35C05">
      <w:pPr>
        <w:pStyle w:val="MBT"/>
      </w:pPr>
      <w:r>
        <w:t xml:space="preserve">In Italy, the </w:t>
      </w:r>
      <w:r w:rsidRPr="000B69E4">
        <w:rPr>
          <w:b/>
        </w:rPr>
        <w:t>President of the Republic</w:t>
      </w:r>
      <w:r>
        <w:t xml:space="preserve"> perform the function of Constitutional guarantor of the acts having force of law of the Government. Furthermore, he elects and has veto power over the members of the Government (the Ministries) </w:t>
      </w:r>
      <w:proofErr w:type="gramStart"/>
      <w:r>
        <w:t>on the basis of</w:t>
      </w:r>
      <w:proofErr w:type="gramEnd"/>
      <w:r>
        <w:t xml:space="preserve"> lists presented by the elected Parliament. The veto power on the list of Ministers has rarely been used by </w:t>
      </w:r>
      <w:r w:rsidR="00F31FF6">
        <w:t xml:space="preserve">the </w:t>
      </w:r>
      <w:r>
        <w:t>Presidents of the Republic. However,</w:t>
      </w:r>
      <w:r w:rsidR="00F31FF6">
        <w:t xml:space="preserve"> in 2018 </w:t>
      </w:r>
      <w:r>
        <w:t>President Mattarella vetoed the nomination of Prof. Paolo Savona on the basis that the Eurosceptic positions expressed by Prof. Savona were susceptible to undermine the Constitutional recognized primacy of EU law within the national system</w:t>
      </w:r>
      <w:r w:rsidR="00392F87">
        <w:t xml:space="preserve">, thereby leading to Italy’s exit from the eurozone without explicit popular consent.   </w:t>
      </w:r>
    </w:p>
    <w:p w14:paraId="50FDF475" w14:textId="78BDA67E" w:rsidR="00392F87" w:rsidRDefault="00131239" w:rsidP="00F35C05">
      <w:pPr>
        <w:pStyle w:val="MBT"/>
      </w:pPr>
      <w:r>
        <w:t xml:space="preserve">While </w:t>
      </w:r>
      <w:proofErr w:type="spellStart"/>
      <w:r>
        <w:t>Meloni’s</w:t>
      </w:r>
      <w:proofErr w:type="spellEnd"/>
      <w:r>
        <w:t xml:space="preserve"> proposal to amend the Constitution did not reach the majority necessary within the Parliament to become a draft law, in </w:t>
      </w:r>
      <w:r w:rsidR="00F31FF6">
        <w:t>p</w:t>
      </w:r>
      <w:r>
        <w:t>ractice the Italian Constitution fores</w:t>
      </w:r>
      <w:r w:rsidR="00392F87">
        <w:t>ees</w:t>
      </w:r>
      <w:r>
        <w:t xml:space="preserve"> an enhance procedure for the adoptions of laws modifying the rights and guarantees enshrined therein,</w:t>
      </w:r>
      <w:r w:rsidRPr="000C2539">
        <w:t xml:space="preserve"> </w:t>
      </w:r>
      <w:r>
        <w:t xml:space="preserve">thereby enhancing protection of democracy and the rule of law against possible </w:t>
      </w:r>
      <w:r w:rsidRPr="007D5F25">
        <w:t>democratic backsliding</w:t>
      </w:r>
      <w:r w:rsidR="00F31FF6">
        <w:t>.</w:t>
      </w:r>
      <w:r>
        <w:t xml:space="preserve">  </w:t>
      </w:r>
      <w:r w:rsidR="00392F87">
        <w:t>Thus, any attempts to unilaterally modify the Constitution, would have bee</w:t>
      </w:r>
      <w:r w:rsidR="00D21811">
        <w:t>n</w:t>
      </w:r>
      <w:r w:rsidR="00392F87">
        <w:t xml:space="preserve"> counter</w:t>
      </w:r>
      <w:r w:rsidR="00D21811">
        <w:t>-</w:t>
      </w:r>
      <w:r w:rsidR="00392F87">
        <w:t xml:space="preserve">balanced by the role of the President of the Republic and the </w:t>
      </w:r>
      <w:r w:rsidR="00392F87" w:rsidRPr="00392F87">
        <w:t>enhanced procedure of constitutional revision</w:t>
      </w:r>
      <w:r w:rsidR="00392F87">
        <w:t>.</w:t>
      </w:r>
    </w:p>
    <w:p w14:paraId="45D8CC94" w14:textId="0D1F5A67" w:rsidR="00131239" w:rsidRPr="00B30BD4" w:rsidRDefault="00131239" w:rsidP="00F35C05">
      <w:pPr>
        <w:pStyle w:val="MBT"/>
      </w:pPr>
      <w:r w:rsidRPr="00A84EC8">
        <w:t xml:space="preserve">The </w:t>
      </w:r>
      <w:bookmarkStart w:id="9" w:name="_Hlk130800843"/>
      <w:r w:rsidRPr="00A84EC8">
        <w:rPr>
          <w:b/>
        </w:rPr>
        <w:t>enhanced procedure of constitutional revision</w:t>
      </w:r>
      <w:r w:rsidRPr="00A84EC8">
        <w:t xml:space="preserve"> </w:t>
      </w:r>
      <w:bookmarkEnd w:id="9"/>
      <w:r w:rsidRPr="00A84EC8">
        <w:t xml:space="preserve">is a procedure established by Article 138 of the Italian Constitution which requires stricter majorities than the ordinary legislative procedure to prevent the Constitution from being amended. Laws revising the Constitution and other constitutional laws shall indeed be adopted by each House (the Senate and the Chamber of Deputies) in two successive deliberations at intervals of not less than three months and shall be passed by an absolute majority of the members of each House in the second vote. If a qualifying 2/3 majority is not reached, but an absolute majority is reached in both chambers, the law is published in the Official Gazette. Within 3 months from the publication in the Official gazette, a constitutional referendum can </w:t>
      </w:r>
      <w:r w:rsidRPr="00A84EC8">
        <w:lastRenderedPageBreak/>
        <w:t xml:space="preserve">be requested, so that the text is submitted to popular approval. In this case, it will be up to the people to decide whether to approve or oppose the entry into force of the constitutional law amending the Constitution. </w:t>
      </w:r>
      <w:r>
        <w:t xml:space="preserve">Recently, the </w:t>
      </w:r>
      <w:r w:rsidRPr="00647036">
        <w:t>enhanced procedure of constitutional revision</w:t>
      </w:r>
      <w:r>
        <w:t xml:space="preserve"> has resulted in the Constitutional Referendum no 261/2020 concerning a cut in the number of the elected MPs within the Parliament. Specifically, in 2020 a </w:t>
      </w:r>
      <w:r w:rsidRPr="00F44D9B">
        <w:t>draft constitutional law provide</w:t>
      </w:r>
      <w:r>
        <w:t>d</w:t>
      </w:r>
      <w:r w:rsidRPr="00F44D9B">
        <w:t xml:space="preserve"> for a drastic reduction in the number of MPs</w:t>
      </w:r>
      <w:r>
        <w:t xml:space="preserve"> (</w:t>
      </w:r>
      <w:r w:rsidRPr="00F44D9B">
        <w:t xml:space="preserve">from 630 to 400 </w:t>
      </w:r>
      <w:r>
        <w:t xml:space="preserve">for the member of the Chamber of Deputies </w:t>
      </w:r>
      <w:r w:rsidRPr="00F44D9B">
        <w:t xml:space="preserve">and from 315 to 200 </w:t>
      </w:r>
      <w:r>
        <w:t xml:space="preserve">for Senators) </w:t>
      </w:r>
      <w:r w:rsidRPr="00F44D9B">
        <w:t>by amending Articles 56 and 57 of the Constitution</w:t>
      </w:r>
      <w:r>
        <w:t xml:space="preserve"> and thereby aligning the number of MPs with other Member States of the EU. The constitutional reform was proposed by </w:t>
      </w:r>
      <w:r w:rsidRPr="00210D38">
        <w:t>the</w:t>
      </w:r>
      <w:r>
        <w:t xml:space="preserve"> </w:t>
      </w:r>
      <w:r w:rsidRPr="00210D38">
        <w:t>‘</w:t>
      </w:r>
      <w:proofErr w:type="gramStart"/>
      <w:r w:rsidRPr="00210D38">
        <w:t>yellow–green</w:t>
      </w:r>
      <w:proofErr w:type="gramEnd"/>
      <w:r w:rsidRPr="00210D38">
        <w:t>’ coalition supported by the MVS and Lega Nord</w:t>
      </w:r>
      <w:r>
        <w:t xml:space="preserve"> and was highly contested within the members of the Parliament since it was meant to be the result of a populist anti-establishment campaign. </w:t>
      </w:r>
      <w:r w:rsidRPr="00321C90">
        <w:t xml:space="preserve">Critics of the amendment argued that </w:t>
      </w:r>
      <w:r>
        <w:t>cutting</w:t>
      </w:r>
      <w:r w:rsidRPr="00321C90">
        <w:t xml:space="preserve"> the number of lawmakers would reduce representatio</w:t>
      </w:r>
      <w:r>
        <w:t xml:space="preserve">n thereby threatening </w:t>
      </w:r>
      <w:r w:rsidRPr="00321C90">
        <w:t xml:space="preserve">democracy </w:t>
      </w:r>
      <w:r>
        <w:t>against</w:t>
      </w:r>
      <w:r w:rsidRPr="00321C90">
        <w:t xml:space="preserve"> only m</w:t>
      </w:r>
      <w:r>
        <w:t>arginal</w:t>
      </w:r>
      <w:r w:rsidRPr="00321C90">
        <w:t xml:space="preserve"> savings for taxpayer</w:t>
      </w:r>
      <w:r>
        <w:t>s. Hence, considering the highly sensitive and contested matter, the Constitutional Referendum, which resulted in favour of the adoption of the law, ensured citizens participation in the choice to unilaterally reform the democratic representativeness of the Parliament.</w:t>
      </w:r>
      <w:r w:rsidRPr="00B30BD4">
        <w:t xml:space="preserve"> </w:t>
      </w:r>
    </w:p>
    <w:p w14:paraId="292D246E" w14:textId="29A41424" w:rsidR="00131239" w:rsidRPr="00DB75A9" w:rsidRDefault="00A416C5" w:rsidP="00F35C05">
      <w:pPr>
        <w:pStyle w:val="MBT"/>
      </w:pPr>
      <w:r>
        <w:t xml:space="preserve">Aside from political attempts to threaten democratic principles, </w:t>
      </w:r>
      <w:r w:rsidR="005A5E07">
        <w:t>i</w:t>
      </w:r>
      <w:r>
        <w:t xml:space="preserve">n Italy </w:t>
      </w:r>
      <w:r w:rsidR="005E3DDE">
        <w:rPr>
          <w:lang w:eastAsia="ar-SA"/>
        </w:rPr>
        <w:t>dissenting actions might also come from different types of actors including civil society</w:t>
      </w:r>
      <w:r w:rsidR="004C640E">
        <w:rPr>
          <w:lang w:eastAsia="ar-SA"/>
        </w:rPr>
        <w:t xml:space="preserve"> </w:t>
      </w:r>
      <w:r w:rsidR="008903C4">
        <w:rPr>
          <w:lang w:eastAsia="ar-SA"/>
        </w:rPr>
        <w:t xml:space="preserve">which can follow </w:t>
      </w:r>
      <w:r w:rsidR="004C640E">
        <w:rPr>
          <w:lang w:eastAsia="ar-SA"/>
        </w:rPr>
        <w:t>the procedures recognised under the Italian legal system to</w:t>
      </w:r>
      <w:r w:rsidR="008903C4">
        <w:rPr>
          <w:lang w:eastAsia="ar-SA"/>
        </w:rPr>
        <w:t xml:space="preserve"> ensure </w:t>
      </w:r>
      <w:r w:rsidR="005A5E07">
        <w:rPr>
          <w:lang w:eastAsia="ar-SA"/>
        </w:rPr>
        <w:t>the respect of democratic principles and legality</w:t>
      </w:r>
      <w:r w:rsidR="005E3DDE">
        <w:rPr>
          <w:lang w:eastAsia="ar-SA"/>
        </w:rPr>
        <w:t xml:space="preserve">. Yet, while </w:t>
      </w:r>
      <w:r w:rsidR="00EF4A7F">
        <w:rPr>
          <w:lang w:eastAsia="ar-SA"/>
        </w:rPr>
        <w:t xml:space="preserve">far </w:t>
      </w:r>
      <w:r w:rsidR="00DB75A9">
        <w:rPr>
          <w:lang w:eastAsia="ar-SA"/>
        </w:rPr>
        <w:t xml:space="preserve">right wind-populist movements have attempted to modify the Constitutional guarantees of the State, civil society actions have played a pivotal role in enhancing fundamental rights or environmental protection through exercising their </w:t>
      </w:r>
      <w:r w:rsidR="00DB75A9" w:rsidRPr="00DB75A9">
        <w:rPr>
          <w:b/>
          <w:bCs w:val="0"/>
          <w:lang w:eastAsia="ar-SA"/>
        </w:rPr>
        <w:t>right to petition</w:t>
      </w:r>
      <w:r w:rsidR="00DB75A9">
        <w:rPr>
          <w:lang w:eastAsia="ar-SA"/>
        </w:rPr>
        <w:t xml:space="preserve">. Article 50 of the Italian Constitution indeed allows citizens to participate in the political life by demanding legislative measures or setting forth general needs. In 2014, one of the most prominent Italian environmental NGO </w:t>
      </w:r>
      <w:r w:rsidR="00DB75A9">
        <w:rPr>
          <w:i/>
          <w:iCs/>
          <w:lang w:eastAsia="ar-SA"/>
        </w:rPr>
        <w:t xml:space="preserve">Legambiente </w:t>
      </w:r>
      <w:r w:rsidR="00DB75A9">
        <w:rPr>
          <w:lang w:eastAsia="ar-SA"/>
        </w:rPr>
        <w:t xml:space="preserve"> and</w:t>
      </w:r>
      <w:r w:rsidR="00DB75A9" w:rsidRPr="00DB75A9">
        <w:rPr>
          <w:lang w:eastAsia="ar-SA"/>
        </w:rPr>
        <w:t xml:space="preserve">  Libera </w:t>
      </w:r>
      <w:r w:rsidR="00DB75A9">
        <w:rPr>
          <w:lang w:eastAsia="ar-SA"/>
        </w:rPr>
        <w:t>(</w:t>
      </w:r>
      <w:r w:rsidR="00DB75A9" w:rsidRPr="00DB75A9">
        <w:rPr>
          <w:lang w:eastAsia="ar-SA"/>
        </w:rPr>
        <w:t>the association that solicits and coordinates civil society against all mafias</w:t>
      </w:r>
      <w:r w:rsidR="00DB75A9">
        <w:rPr>
          <w:lang w:eastAsia="ar-SA"/>
        </w:rPr>
        <w:t xml:space="preserve">) </w:t>
      </w:r>
      <w:r w:rsidR="00DB75A9" w:rsidRPr="00DB75A9">
        <w:rPr>
          <w:lang w:eastAsia="ar-SA"/>
        </w:rPr>
        <w:t xml:space="preserve"> have promoted an  online petition</w:t>
      </w:r>
      <w:r w:rsidR="00DB75A9">
        <w:rPr>
          <w:lang w:eastAsia="ar-SA"/>
        </w:rPr>
        <w:t xml:space="preserve"> asking the Senate to quickly approve a law on environmental crimes in the Italian Criminal Code in light of the proved relationship between organized crime and illicit trafficking of waste and the low penalties associated at the time to environmental crimes. The political pressure arising from environmental gross-roots movements and the petition demanding to strengthening the environmental rule of law in Italy resulted in the adoption of the law in 2015</w:t>
      </w:r>
      <w:r w:rsidR="00DB75A9">
        <w:rPr>
          <w:rStyle w:val="FootnoteReference"/>
          <w:lang w:eastAsia="ar-SA"/>
        </w:rPr>
        <w:footnoteReference w:id="6"/>
      </w:r>
      <w:r w:rsidR="00DB75A9">
        <w:rPr>
          <w:lang w:eastAsia="ar-SA"/>
        </w:rPr>
        <w:t>.</w:t>
      </w:r>
    </w:p>
    <w:p w14:paraId="523A7D5F" w14:textId="6B4E2683" w:rsidR="00131239" w:rsidRPr="00A84EC8" w:rsidRDefault="00A416C5" w:rsidP="00F35C05">
      <w:pPr>
        <w:pStyle w:val="MBT"/>
      </w:pPr>
      <w:r>
        <w:t xml:space="preserve"> </w:t>
      </w:r>
    </w:p>
    <w:p w14:paraId="28E877DC" w14:textId="77777777" w:rsidR="00131239" w:rsidRPr="003F7875" w:rsidRDefault="00131239" w:rsidP="00AD3D7D">
      <w:pPr>
        <w:pStyle w:val="MH2"/>
        <w:rPr>
          <w:lang w:val="en-US"/>
        </w:rPr>
      </w:pPr>
      <w:r w:rsidRPr="003F7875">
        <w:rPr>
          <w:lang w:val="en-US"/>
        </w:rPr>
        <w:t xml:space="preserve">Protection against threats to the principles of legality and </w:t>
      </w:r>
      <w:r>
        <w:rPr>
          <w:lang w:val="en-US"/>
        </w:rPr>
        <w:t xml:space="preserve">abuse of </w:t>
      </w:r>
      <w:r w:rsidRPr="003F7875">
        <w:rPr>
          <w:lang w:val="en-US"/>
        </w:rPr>
        <w:t xml:space="preserve">power </w:t>
      </w:r>
    </w:p>
    <w:p w14:paraId="0CB3F181" w14:textId="77777777" w:rsidR="00EF4A7F" w:rsidRDefault="00131239" w:rsidP="00F35C05">
      <w:pPr>
        <w:pStyle w:val="MBT"/>
      </w:pPr>
      <w:r>
        <w:t>In Italy, the</w:t>
      </w:r>
      <w:r w:rsidRPr="00ED1C21">
        <w:t xml:space="preserve"> success of populist parties can be traced back</w:t>
      </w:r>
      <w:r>
        <w:t xml:space="preserve"> to a </w:t>
      </w:r>
      <w:r w:rsidRPr="00ED1C21">
        <w:t xml:space="preserve">political dissatisfaction </w:t>
      </w:r>
      <w:r>
        <w:t xml:space="preserve">of the Italian </w:t>
      </w:r>
      <w:r w:rsidRPr="00ED1C21">
        <w:t xml:space="preserve">administrative </w:t>
      </w:r>
      <w:r>
        <w:t xml:space="preserve">and political </w:t>
      </w:r>
      <w:r w:rsidRPr="00ED1C21">
        <w:t xml:space="preserve">system </w:t>
      </w:r>
      <w:r>
        <w:t xml:space="preserve">and economic and social problems existing within the Country. </w:t>
      </w:r>
      <w:r>
        <w:rPr>
          <w:rStyle w:val="FootnoteReference"/>
        </w:rPr>
        <w:footnoteReference w:id="7"/>
      </w:r>
      <w:r>
        <w:t xml:space="preserve">  </w:t>
      </w:r>
      <w:r w:rsidR="00EF4A7F">
        <w:t>The rise of the ‘</w:t>
      </w:r>
      <w:proofErr w:type="gramStart"/>
      <w:r w:rsidR="00EF4A7F">
        <w:t>yellow-green</w:t>
      </w:r>
      <w:proofErr w:type="gramEnd"/>
      <w:r w:rsidR="00EF4A7F">
        <w:t xml:space="preserve">’ coalition lead by MFS and Lega North resulted in </w:t>
      </w:r>
      <w:proofErr w:type="spellStart"/>
      <w:r>
        <w:t>Salvini’s</w:t>
      </w:r>
      <w:proofErr w:type="spellEnd"/>
      <w:r>
        <w:t xml:space="preserve"> attempts to intensifying administrative control over politically sensitive matters such as immigration, or to escalating Euroscepticism within society.</w:t>
      </w:r>
      <w:r w:rsidR="00EF4A7F">
        <w:t xml:space="preserve"> </w:t>
      </w:r>
    </w:p>
    <w:p w14:paraId="794AFE4C" w14:textId="3481C593" w:rsidR="00131239" w:rsidRDefault="00EF4A7F" w:rsidP="00F35C05">
      <w:pPr>
        <w:pStyle w:val="MBT"/>
      </w:pPr>
      <w:proofErr w:type="spellStart"/>
      <w:r>
        <w:t>Salvini’s</w:t>
      </w:r>
      <w:proofErr w:type="spellEnd"/>
      <w:r>
        <w:t xml:space="preserve"> political action has indeed been characterized by </w:t>
      </w:r>
      <w:r w:rsidRPr="00EF4A7F">
        <w:t>attempt</w:t>
      </w:r>
      <w:r w:rsidR="005A5E07">
        <w:t>ing</w:t>
      </w:r>
      <w:r w:rsidRPr="00EF4A7F">
        <w:t xml:space="preserve"> to suspend </w:t>
      </w:r>
      <w:r>
        <w:t xml:space="preserve">administrative </w:t>
      </w:r>
      <w:r w:rsidRPr="00EF4A7F">
        <w:t xml:space="preserve">asylum procedures </w:t>
      </w:r>
      <w:r>
        <w:t>till</w:t>
      </w:r>
      <w:r w:rsidRPr="00EF4A7F">
        <w:t xml:space="preserve"> the E</w:t>
      </w:r>
      <w:r>
        <w:t>U</w:t>
      </w:r>
      <w:r w:rsidRPr="00EF4A7F">
        <w:t xml:space="preserve"> agree</w:t>
      </w:r>
      <w:r>
        <w:t>d</w:t>
      </w:r>
      <w:r w:rsidRPr="00EF4A7F">
        <w:t xml:space="preserve"> on fair distribution of refugees</w:t>
      </w:r>
      <w:r>
        <w:t xml:space="preserve"> and has blocked</w:t>
      </w:r>
      <w:r w:rsidRPr="00EF4A7F">
        <w:t xml:space="preserve"> boats loaded with rescued migrants from docking in Italian ports</w:t>
      </w:r>
      <w:r>
        <w:t xml:space="preserve">. </w:t>
      </w:r>
      <w:r w:rsidR="003A4272">
        <w:t>Specifically, o</w:t>
      </w:r>
      <w:r w:rsidR="009E381B">
        <w:t xml:space="preserve">n three occasions </w:t>
      </w:r>
      <w:r w:rsidR="003A4272">
        <w:t xml:space="preserve">between 2018 and 2019, the ships </w:t>
      </w:r>
      <w:proofErr w:type="spellStart"/>
      <w:r w:rsidR="003A4272">
        <w:t>Diciotti</w:t>
      </w:r>
      <w:proofErr w:type="spellEnd"/>
      <w:r w:rsidR="003A4272">
        <w:t xml:space="preserve">  </w:t>
      </w:r>
      <w:proofErr w:type="spellStart"/>
      <w:r w:rsidR="003A4272">
        <w:t>Gregoretti</w:t>
      </w:r>
      <w:proofErr w:type="spellEnd"/>
      <w:r w:rsidR="003A4272">
        <w:t xml:space="preserve">,  and Open Arms were refused authorization to dock in Italian ports by   </w:t>
      </w:r>
      <w:proofErr w:type="spellStart"/>
      <w:r w:rsidR="003A4272">
        <w:t>Salvini</w:t>
      </w:r>
      <w:proofErr w:type="spellEnd"/>
      <w:r w:rsidR="003A4272">
        <w:t xml:space="preserve"> (at the time Ministry of the Interior) notwithstanding the</w:t>
      </w:r>
      <w:r w:rsidR="00FB0A44">
        <w:t xml:space="preserve"> difficult physical and mental conditions of the migrants</w:t>
      </w:r>
      <w:r w:rsidR="003A4272">
        <w:t xml:space="preserve"> </w:t>
      </w:r>
      <w:r w:rsidR="001B6DF1">
        <w:t>onboard</w:t>
      </w:r>
      <w:r w:rsidR="003A4272">
        <w:t xml:space="preserve">. </w:t>
      </w:r>
      <w:proofErr w:type="spellStart"/>
      <w:r w:rsidR="00FB0A44">
        <w:t>Salvini’s</w:t>
      </w:r>
      <w:proofErr w:type="spellEnd"/>
      <w:r w:rsidR="00FB0A44">
        <w:t xml:space="preserve"> action created a fracture within the political discourse </w:t>
      </w:r>
      <w:r w:rsidR="00FB0A44">
        <w:lastRenderedPageBreak/>
        <w:t>and among supporters of Italy’s sovereignty and control of national boarders, and those supporting rescuing migrants at sea for humanitarian reasons.</w:t>
      </w:r>
    </w:p>
    <w:p w14:paraId="587401FB" w14:textId="5572D7D8" w:rsidR="00FB0A44" w:rsidRPr="00ED1C21" w:rsidRDefault="00FB0A44" w:rsidP="00F35C05">
      <w:pPr>
        <w:pStyle w:val="MBT"/>
      </w:pPr>
      <w:r>
        <w:t xml:space="preserve">Yet, the pillar of the dissenting reactions arising from these events was whether </w:t>
      </w:r>
      <w:proofErr w:type="spellStart"/>
      <w:r>
        <w:t>Salvini</w:t>
      </w:r>
      <w:proofErr w:type="spellEnd"/>
      <w:r>
        <w:t xml:space="preserve"> had acted within the limits of the powers conferred to him by law.</w:t>
      </w:r>
    </w:p>
    <w:p w14:paraId="4D0A9F79" w14:textId="23681A45" w:rsidR="00131239" w:rsidRPr="00A84EC8" w:rsidRDefault="00FB0A44" w:rsidP="00F35C05">
      <w:pPr>
        <w:pStyle w:val="MBT"/>
      </w:pPr>
      <w:r>
        <w:t>In</w:t>
      </w:r>
      <w:r w:rsidR="00131239">
        <w:t xml:space="preserve"> Italy</w:t>
      </w:r>
      <w:r>
        <w:t>,</w:t>
      </w:r>
      <w:r w:rsidR="00131239">
        <w:t xml:space="preserve"> checks and balances between the legislative and executive power and the respect of the principle of legality is ensured through the protection granted by the Constitution. While the</w:t>
      </w:r>
      <w:r w:rsidR="00131239" w:rsidRPr="00A84EC8">
        <w:t xml:space="preserve"> Italian Constitution does not contain an express formulation of this principle</w:t>
      </w:r>
      <w:r w:rsidR="00131239">
        <w:t>, the latter</w:t>
      </w:r>
      <w:r w:rsidR="00131239" w:rsidRPr="00A84EC8">
        <w:t xml:space="preserve"> is indirectly referred  to in various articles including:</w:t>
      </w:r>
      <w:r w:rsidR="00131239">
        <w:t xml:space="preserve"> </w:t>
      </w:r>
    </w:p>
    <w:p w14:paraId="2B94B428" w14:textId="77777777" w:rsidR="00131239" w:rsidRPr="00A84EC8" w:rsidRDefault="00131239" w:rsidP="00F35C05">
      <w:pPr>
        <w:pStyle w:val="MBTbullets"/>
      </w:pPr>
      <w:r w:rsidRPr="00A84EC8">
        <w:t>Article 24, 97, 113 Constitution concerning the legality principle and the power of the Public Administration (hereafter PA)</w:t>
      </w:r>
      <w:r>
        <w:t>.</w:t>
      </w:r>
    </w:p>
    <w:p w14:paraId="02D03C26" w14:textId="77777777" w:rsidR="00131239" w:rsidRPr="00A84EC8" w:rsidRDefault="00131239" w:rsidP="00F35C05">
      <w:pPr>
        <w:pStyle w:val="MBTbullets"/>
      </w:pPr>
      <w:r w:rsidRPr="00A84EC8">
        <w:t>Article 25  Constitution and Article 1 and 199 of the Criminal Code, concerning the legality principle within criminal law.</w:t>
      </w:r>
    </w:p>
    <w:p w14:paraId="09A03A93" w14:textId="77777777" w:rsidR="00131239" w:rsidRDefault="00131239" w:rsidP="00F35C05">
      <w:pPr>
        <w:pStyle w:val="MBT"/>
      </w:pPr>
      <w:r w:rsidRPr="00A84EC8">
        <w:t>In administrative law</w:t>
      </w:r>
      <w:r w:rsidRPr="00A84EC8">
        <w:rPr>
          <w:b/>
        </w:rPr>
        <w:t>,</w:t>
      </w:r>
      <w:r w:rsidRPr="00A84EC8">
        <w:t> the principle of legality provides a guarantee against the unilateral activity of an executive power which must therefore necessarily be predetermined by the legislator. The scope of the public administration's discretion must in fact be well defined by the limits set by public law rules and by the Constitution, which the public power cannot derogate from, not even in the pursuit of a general interest</w:t>
      </w:r>
      <w:r>
        <w:t xml:space="preserve"> (Article 97 Constitution)</w:t>
      </w:r>
      <w:r w:rsidRPr="00A84EC8">
        <w:t>.</w:t>
      </w:r>
      <w:r w:rsidRPr="00A84EC8">
        <w:rPr>
          <w:rStyle w:val="FootnoteReference"/>
        </w:rPr>
        <w:footnoteReference w:id="8"/>
      </w:r>
      <w:r w:rsidRPr="00A84EC8">
        <w:t xml:space="preserve"> This principle founds further implementation through Article 1 of the law on administrative proceedings (Law 241/1990) providing that administrative activity shall pursue the ends determined by law</w:t>
      </w:r>
      <w:r>
        <w:t xml:space="preserve"> and in A</w:t>
      </w:r>
      <w:r w:rsidRPr="00A84EC8">
        <w:t>rticles 24 and 113 of the Constitution</w:t>
      </w:r>
      <w:r>
        <w:t>.</w:t>
      </w:r>
    </w:p>
    <w:p w14:paraId="58B455DC" w14:textId="65B1CA7C" w:rsidR="00B71D7B" w:rsidRDefault="00FB0A44" w:rsidP="00F35C05">
      <w:pPr>
        <w:pStyle w:val="MBT"/>
      </w:pPr>
      <w:r>
        <w:t>Within the context of actions of Ministers,</w:t>
      </w:r>
      <w:r w:rsidR="00B71D7B">
        <w:t xml:space="preserve"> Article 9 of the Italian Constitution </w:t>
      </w:r>
      <w:r w:rsidR="00B71D7B" w:rsidRPr="00B71D7B">
        <w:t xml:space="preserve">provides that </w:t>
      </w:r>
      <w:r w:rsidR="00B71D7B">
        <w:t>M</w:t>
      </w:r>
      <w:r w:rsidR="00B71D7B" w:rsidRPr="00B71D7B">
        <w:t>inisters and the president of the Council of Ministers, even if they have ceased to hold office, are subject, for crimes committed in the exercise of their functions, to the ordinary jurisdiction, subject to authorization by the Senate of the Republic or the Chamber of Deputies</w:t>
      </w:r>
      <w:r w:rsidR="00B71D7B">
        <w:t>.</w:t>
      </w:r>
      <w:r w:rsidR="00B71D7B" w:rsidRPr="00B71D7B">
        <w:t xml:space="preserve"> The authorization by the Senate of the Republic or the Chamber of Deputies </w:t>
      </w:r>
      <w:r w:rsidR="00B71D7B">
        <w:t xml:space="preserve">can be denied only </w:t>
      </w:r>
      <w:r w:rsidR="00B71D7B" w:rsidRPr="00B71D7B">
        <w:t>if it</w:t>
      </w:r>
      <w:r w:rsidR="00B71D7B">
        <w:t xml:space="preserve"> is</w:t>
      </w:r>
      <w:r w:rsidR="00B71D7B" w:rsidRPr="00B71D7B">
        <w:t xml:space="preserve"> deem</w:t>
      </w:r>
      <w:r w:rsidR="00B71D7B">
        <w:t>ed</w:t>
      </w:r>
      <w:r w:rsidR="00B71D7B" w:rsidRPr="00B71D7B">
        <w:t xml:space="preserve"> that the Minister or the Prime Minister acted in the interest of the State or public interest</w:t>
      </w:r>
      <w:r w:rsidR="00B71D7B">
        <w:t>.</w:t>
      </w:r>
    </w:p>
    <w:p w14:paraId="0C2179FC" w14:textId="5929F448" w:rsidR="00FB0A44" w:rsidRDefault="00B71D7B" w:rsidP="00F35C05">
      <w:pPr>
        <w:pStyle w:val="MBT"/>
      </w:pPr>
      <w:r>
        <w:t xml:space="preserve">The Tribunal of Ministers is a specialized section of the </w:t>
      </w:r>
      <w:r w:rsidRPr="008903C4">
        <w:rPr>
          <w:bCs w:val="0"/>
        </w:rPr>
        <w:t xml:space="preserve">district court competent for crimes committed by the President of the Council of Ministers and by </w:t>
      </w:r>
      <w:r>
        <w:rPr>
          <w:bCs w:val="0"/>
        </w:rPr>
        <w:t>M</w:t>
      </w:r>
      <w:r w:rsidRPr="008903C4">
        <w:rPr>
          <w:bCs w:val="0"/>
        </w:rPr>
        <w:t>inisters in the exercise of their functions (the so-called</w:t>
      </w:r>
      <w:r w:rsidRPr="00B71D7B">
        <w:rPr>
          <w:bCs w:val="0"/>
        </w:rPr>
        <w:t> ministerial offences</w:t>
      </w:r>
      <w:r w:rsidRPr="00B71D7B">
        <w:t>).</w:t>
      </w:r>
      <w:r w:rsidR="00FB0A44">
        <w:t xml:space="preserve"> </w:t>
      </w:r>
      <w:r>
        <w:t xml:space="preserve">Against </w:t>
      </w:r>
      <w:proofErr w:type="spellStart"/>
      <w:r>
        <w:t>Salvini’s</w:t>
      </w:r>
      <w:proofErr w:type="spellEnd"/>
      <w:r>
        <w:t xml:space="preserve"> actions to block the ships </w:t>
      </w:r>
      <w:proofErr w:type="spellStart"/>
      <w:r>
        <w:t>Diciotti</w:t>
      </w:r>
      <w:proofErr w:type="spellEnd"/>
      <w:r>
        <w:t xml:space="preserve">  </w:t>
      </w:r>
      <w:proofErr w:type="spellStart"/>
      <w:r>
        <w:t>Gregoretti</w:t>
      </w:r>
      <w:proofErr w:type="spellEnd"/>
      <w:r>
        <w:t xml:space="preserve">,  and Open Arms the Tribunal of Ministers has opened investigations for abuse of power and abduction of migrants at sea. While the case </w:t>
      </w:r>
      <w:proofErr w:type="spellStart"/>
      <w:r>
        <w:t>Diciotti</w:t>
      </w:r>
      <w:proofErr w:type="spellEnd"/>
      <w:r>
        <w:t xml:space="preserve"> and </w:t>
      </w:r>
      <w:proofErr w:type="spellStart"/>
      <w:r>
        <w:t>Gregoretti</w:t>
      </w:r>
      <w:proofErr w:type="spellEnd"/>
      <w:r>
        <w:t xml:space="preserve"> have been </w:t>
      </w:r>
      <w:r w:rsidR="00D43697">
        <w:t>dismissed</w:t>
      </w:r>
      <w:r>
        <w:t xml:space="preserve"> by the </w:t>
      </w:r>
      <w:r w:rsidRPr="00B71D7B">
        <w:t>Chamber of Deputies</w:t>
      </w:r>
      <w:r w:rsidR="00D43697">
        <w:rPr>
          <w:rStyle w:val="FootnoteReference"/>
        </w:rPr>
        <w:footnoteReference w:id="9"/>
      </w:r>
      <w:r>
        <w:t xml:space="preserve"> and the public prosecutor</w:t>
      </w:r>
      <w:r w:rsidR="00D43697">
        <w:rPr>
          <w:rStyle w:val="FootnoteReference"/>
        </w:rPr>
        <w:footnoteReference w:id="10"/>
      </w:r>
      <w:r>
        <w:t xml:space="preserve"> respectively</w:t>
      </w:r>
      <w:r w:rsidR="00D43697">
        <w:t xml:space="preserve">, </w:t>
      </w:r>
      <w:proofErr w:type="spellStart"/>
      <w:r w:rsidR="00D43697">
        <w:t>Salvini</w:t>
      </w:r>
      <w:proofErr w:type="spellEnd"/>
      <w:r w:rsidR="00D43697">
        <w:t xml:space="preserve"> is currently facing criminal charges and 15 years of detention for the case Open Arms.</w:t>
      </w:r>
    </w:p>
    <w:p w14:paraId="62F3D8CB" w14:textId="40C36025" w:rsidR="00131239" w:rsidRPr="00A84EC8" w:rsidRDefault="00131239" w:rsidP="00F35C05">
      <w:pPr>
        <w:pStyle w:val="MBT"/>
      </w:pPr>
      <w:r>
        <w:t xml:space="preserve">To that extent, in </w:t>
      </w:r>
      <w:proofErr w:type="spellStart"/>
      <w:r w:rsidR="00424F45">
        <w:t>Salvini’s</w:t>
      </w:r>
      <w:proofErr w:type="spellEnd"/>
      <w:r w:rsidR="00424F45">
        <w:t xml:space="preserve"> </w:t>
      </w:r>
      <w:r>
        <w:t>attempts to interfere with the principle of legal certainty through arbitrary exercise of power f</w:t>
      </w:r>
      <w:r w:rsidR="00424F45">
        <w:t>ound</w:t>
      </w:r>
      <w:r>
        <w:t xml:space="preserve"> its counter-limits through the</w:t>
      </w:r>
      <w:r w:rsidRPr="00A84EC8">
        <w:t xml:space="preserve"> judicial review of </w:t>
      </w:r>
      <w:r w:rsidR="00B71D7B">
        <w:t>ordinary courts</w:t>
      </w:r>
      <w:r>
        <w:t xml:space="preserve"> and of the Constitutional Court (see section 2.4).</w:t>
      </w:r>
      <w:r w:rsidR="00D43697">
        <w:t xml:space="preserve"> Furthermore, in Italy the principle of legality and protection against the abuse of power of the public administration is ensured through the jurisdiction of Reginal Administrative Tribunals.</w:t>
      </w:r>
    </w:p>
    <w:p w14:paraId="04E7E00C" w14:textId="13AB82BA" w:rsidR="005A5E07" w:rsidRPr="005A5E07" w:rsidRDefault="00131239" w:rsidP="005A5E07">
      <w:pPr>
        <w:pStyle w:val="MH2"/>
        <w:rPr>
          <w:lang w:val="en-US"/>
        </w:rPr>
      </w:pPr>
      <w:r w:rsidRPr="00A84EC8">
        <w:t>Protection against</w:t>
      </w:r>
      <w:r w:rsidRPr="00A84EC8">
        <w:rPr>
          <w:lang w:val="en-US"/>
        </w:rPr>
        <w:t xml:space="preserve"> threats to Fundamental Rights </w:t>
      </w:r>
    </w:p>
    <w:p w14:paraId="438658A6" w14:textId="0F7D2BD3" w:rsidR="005A5E07" w:rsidRPr="008903C4" w:rsidRDefault="005A5E07" w:rsidP="00F66A6B">
      <w:pPr>
        <w:pStyle w:val="MBT"/>
        <w:rPr>
          <w:lang w:val="en-US" w:eastAsia="ar-SA"/>
        </w:rPr>
      </w:pPr>
      <w:bookmarkStart w:id="10" w:name="_Hlk131493943"/>
      <w:r w:rsidRPr="00083CC5">
        <w:rPr>
          <w:i/>
          <w:iCs/>
          <w:color w:val="FF0000"/>
          <w:lang w:val="en-US" w:eastAsia="ar-SA"/>
        </w:rPr>
        <w:t xml:space="preserve">This section should cover political, </w:t>
      </w:r>
      <w:proofErr w:type="gramStart"/>
      <w:r w:rsidRPr="00083CC5">
        <w:rPr>
          <w:i/>
          <w:iCs/>
          <w:color w:val="FF0000"/>
          <w:lang w:val="en-US" w:eastAsia="ar-SA"/>
        </w:rPr>
        <w:t>civil</w:t>
      </w:r>
      <w:proofErr w:type="gramEnd"/>
      <w:r w:rsidRPr="00083CC5">
        <w:rPr>
          <w:i/>
          <w:iCs/>
          <w:color w:val="FF0000"/>
          <w:lang w:val="en-US" w:eastAsia="ar-SA"/>
        </w:rPr>
        <w:t xml:space="preserve"> and social fundamental rights, including environmental rights</w:t>
      </w:r>
      <w:r w:rsidRPr="00083CC5">
        <w:rPr>
          <w:color w:val="FF0000"/>
          <w:lang w:val="en-US" w:eastAsia="ar-SA"/>
        </w:rPr>
        <w:t>.</w:t>
      </w:r>
      <w:r>
        <w:rPr>
          <w:lang w:val="en-US" w:eastAsia="ar-SA"/>
        </w:rPr>
        <w:t xml:space="preserve"> </w:t>
      </w:r>
    </w:p>
    <w:bookmarkEnd w:id="10"/>
    <w:p w14:paraId="637FEF7A" w14:textId="03BEA32B" w:rsidR="00131239" w:rsidRDefault="00131239" w:rsidP="00F66A6B">
      <w:pPr>
        <w:pStyle w:val="MBT"/>
        <w:rPr>
          <w:lang w:eastAsia="ar-SA"/>
        </w:rPr>
      </w:pPr>
      <w:r w:rsidRPr="00A84EC8">
        <w:rPr>
          <w:lang w:eastAsia="ar-SA"/>
        </w:rPr>
        <w:t>The Italian Constitution (Article 2)</w:t>
      </w:r>
      <w:r w:rsidRPr="00A84EC8">
        <w:t xml:space="preserve"> </w:t>
      </w:r>
      <w:r w:rsidRPr="00A84EC8">
        <w:rPr>
          <w:lang w:eastAsia="ar-SA"/>
        </w:rPr>
        <w:t>recognises and guarantees the inviolable rights of the person, both as an individual and in the social groups where the human personality is expressed</w:t>
      </w:r>
      <w:r w:rsidR="00663C14">
        <w:rPr>
          <w:lang w:eastAsia="ar-SA"/>
        </w:rPr>
        <w:t>, as enshrined in the EU Charter and in the European Convention on Human Rights</w:t>
      </w:r>
      <w:r w:rsidRPr="00A84EC8">
        <w:rPr>
          <w:lang w:eastAsia="ar-SA"/>
        </w:rPr>
        <w:t xml:space="preserve">. </w:t>
      </w:r>
      <w:r w:rsidR="00663C14">
        <w:rPr>
          <w:lang w:eastAsia="ar-SA"/>
        </w:rPr>
        <w:t xml:space="preserve"> </w:t>
      </w:r>
    </w:p>
    <w:p w14:paraId="467FB459" w14:textId="6D3FB580" w:rsidR="00D21811" w:rsidRDefault="00663C14" w:rsidP="00F66A6B">
      <w:pPr>
        <w:pStyle w:val="MBT"/>
        <w:rPr>
          <w:lang w:eastAsia="ar-SA"/>
        </w:rPr>
      </w:pPr>
      <w:r>
        <w:rPr>
          <w:lang w:eastAsia="ar-SA"/>
        </w:rPr>
        <w:lastRenderedPageBreak/>
        <w:t xml:space="preserve">Yet, in Italy the rise of the ‘yellow-green’ coalition has resulted in </w:t>
      </w:r>
      <w:r w:rsidR="00F524EC">
        <w:rPr>
          <w:lang w:eastAsia="ar-SA"/>
        </w:rPr>
        <w:t>the introduction of restrictive laws on immigration and asylum rights</w:t>
      </w:r>
      <w:r w:rsidR="00120AF2">
        <w:rPr>
          <w:lang w:eastAsia="ar-SA"/>
        </w:rPr>
        <w:t xml:space="preserve">, thereby undermining the fundamental human rights of those attempting to enter in the Italian costal boarders. </w:t>
      </w:r>
      <w:r w:rsidR="00D43697" w:rsidRPr="00B94800">
        <w:rPr>
          <w:lang w:eastAsia="ar-SA"/>
        </w:rPr>
        <w:t xml:space="preserve">The so called </w:t>
      </w:r>
      <w:proofErr w:type="spellStart"/>
      <w:r w:rsidR="00D43697" w:rsidRPr="00B94800">
        <w:rPr>
          <w:lang w:eastAsia="ar-SA"/>
        </w:rPr>
        <w:t>Decreto</w:t>
      </w:r>
      <w:proofErr w:type="spellEnd"/>
      <w:r w:rsidR="00D43697" w:rsidRPr="00B94800">
        <w:rPr>
          <w:lang w:eastAsia="ar-SA"/>
        </w:rPr>
        <w:t xml:space="preserve"> </w:t>
      </w:r>
      <w:proofErr w:type="spellStart"/>
      <w:r w:rsidR="00D43697" w:rsidRPr="00B94800">
        <w:rPr>
          <w:lang w:eastAsia="ar-SA"/>
        </w:rPr>
        <w:t>Sicurezza</w:t>
      </w:r>
      <w:proofErr w:type="spellEnd"/>
      <w:r w:rsidR="00D43697" w:rsidRPr="00B94800">
        <w:rPr>
          <w:lang w:eastAsia="ar-SA"/>
        </w:rPr>
        <w:t xml:space="preserve"> and </w:t>
      </w:r>
      <w:proofErr w:type="spellStart"/>
      <w:r w:rsidR="00D43697" w:rsidRPr="00B94800">
        <w:rPr>
          <w:lang w:eastAsia="ar-SA"/>
        </w:rPr>
        <w:t>Decreto</w:t>
      </w:r>
      <w:proofErr w:type="spellEnd"/>
      <w:r w:rsidR="00D43697" w:rsidRPr="00B94800">
        <w:rPr>
          <w:lang w:eastAsia="ar-SA"/>
        </w:rPr>
        <w:t xml:space="preserve"> </w:t>
      </w:r>
      <w:proofErr w:type="spellStart"/>
      <w:r w:rsidR="00D43697" w:rsidRPr="00B94800">
        <w:rPr>
          <w:lang w:eastAsia="ar-SA"/>
        </w:rPr>
        <w:t>Sicurezza</w:t>
      </w:r>
      <w:proofErr w:type="spellEnd"/>
      <w:r w:rsidR="00D43697" w:rsidRPr="00B94800">
        <w:rPr>
          <w:lang w:eastAsia="ar-SA"/>
        </w:rPr>
        <w:t xml:space="preserve"> bis (Security </w:t>
      </w:r>
      <w:r w:rsidR="00D43697">
        <w:rPr>
          <w:lang w:eastAsia="ar-SA"/>
        </w:rPr>
        <w:t>Decree</w:t>
      </w:r>
      <w:r w:rsidR="00D43697" w:rsidRPr="00B94800">
        <w:rPr>
          <w:lang w:eastAsia="ar-SA"/>
        </w:rPr>
        <w:t xml:space="preserve"> an</w:t>
      </w:r>
      <w:r w:rsidR="00D43697">
        <w:rPr>
          <w:lang w:eastAsia="ar-SA"/>
        </w:rPr>
        <w:t>d Security Decree bis)</w:t>
      </w:r>
      <w:r w:rsidR="00D43697">
        <w:rPr>
          <w:rStyle w:val="FootnoteReference"/>
          <w:lang w:eastAsia="ar-SA"/>
        </w:rPr>
        <w:footnoteReference w:id="11"/>
      </w:r>
      <w:r w:rsidR="00D43697">
        <w:rPr>
          <w:lang w:eastAsia="ar-SA"/>
        </w:rPr>
        <w:t xml:space="preserve"> restricted access to the Italian borders for humanitarian reasons and increased the number of offences related to illegal immigration by sea. </w:t>
      </w:r>
    </w:p>
    <w:p w14:paraId="78019A24" w14:textId="13C6A39F" w:rsidR="00663C14" w:rsidRDefault="00F524EC" w:rsidP="00F66A6B">
      <w:pPr>
        <w:pStyle w:val="MBT"/>
        <w:rPr>
          <w:lang w:eastAsia="ar-SA"/>
        </w:rPr>
      </w:pPr>
      <w:r>
        <w:rPr>
          <w:lang w:eastAsia="ar-SA"/>
        </w:rPr>
        <w:t xml:space="preserve">Furthermore, </w:t>
      </w:r>
      <w:r>
        <w:t>a</w:t>
      </w:r>
      <w:r w:rsidRPr="0062746C">
        <w:t xml:space="preserve">ccording to the </w:t>
      </w:r>
      <w:hyperlink r:id="rId14" w:history="1">
        <w:r w:rsidRPr="008903C4">
          <w:rPr>
            <w:rStyle w:val="Hyperlink"/>
            <w:rFonts w:cs="Arial"/>
          </w:rPr>
          <w:t>Media Pluralism Monitor’s</w:t>
        </w:r>
      </w:hyperlink>
      <w:r w:rsidRPr="008903C4">
        <w:rPr>
          <w:rFonts w:cs="Arial"/>
        </w:rPr>
        <w:t xml:space="preserve"> </w:t>
      </w:r>
      <w:r w:rsidRPr="0062746C">
        <w:t xml:space="preserve">(MPM) 2022 report, media pluralism </w:t>
      </w:r>
      <w:r>
        <w:t xml:space="preserve">and freedom from political interference </w:t>
      </w:r>
      <w:r w:rsidRPr="0062746C">
        <w:t xml:space="preserve">in Italy </w:t>
      </w:r>
      <w:r w:rsidR="00120AF2">
        <w:t>has been</w:t>
      </w:r>
      <w:r>
        <w:t xml:space="preserve"> threatened by the</w:t>
      </w:r>
      <w:r w:rsidRPr="0062746C">
        <w:t xml:space="preserve"> high concentration of media ownership in all sectors of media production and the online platforms market. </w:t>
      </w:r>
      <w:r>
        <w:t xml:space="preserve"> In 2020, the President of the Italian Press Association has </w:t>
      </w:r>
      <w:r w:rsidR="00120AF2">
        <w:t xml:space="preserve">also </w:t>
      </w:r>
      <w:r>
        <w:t>reported an increase in the attacks and intimidation carried out against journalist;</w:t>
      </w:r>
      <w:r w:rsidRPr="00F524EC">
        <w:rPr>
          <w:sz w:val="23"/>
          <w:szCs w:val="23"/>
        </w:rPr>
        <w:t xml:space="preserve"> </w:t>
      </w:r>
      <w:r>
        <w:rPr>
          <w:sz w:val="23"/>
          <w:szCs w:val="23"/>
        </w:rPr>
        <w:t xml:space="preserve">alleged wiretapping of at least 15 journalists working on migration issues as part of a public prosecutors’ investigation into relations between NGOs and traffickers and a general deterioration of the freedom of press and information. </w:t>
      </w:r>
      <w:r w:rsidR="00120AF2">
        <w:rPr>
          <w:lang w:val="en-US"/>
        </w:rPr>
        <w:t>Lastly</w:t>
      </w:r>
      <w:r>
        <w:rPr>
          <w:lang w:val="en-US"/>
        </w:rPr>
        <w:t xml:space="preserve">, </w:t>
      </w:r>
      <w:r>
        <w:t>t</w:t>
      </w:r>
      <w:r w:rsidRPr="0062746C">
        <w:t>he MPM report on Italy highlighted increased instances of SLAPPs (strategic lawsuits against public participation) with the perceived aim of silencing journalists who write on issues of public interest and a lack of legal safeguards against them</w:t>
      </w:r>
      <w:r>
        <w:t xml:space="preserve">. </w:t>
      </w:r>
    </w:p>
    <w:p w14:paraId="1BBF5006" w14:textId="0DDC0A6A" w:rsidR="00131239" w:rsidRDefault="00120AF2" w:rsidP="00F66A6B">
      <w:pPr>
        <w:pStyle w:val="MBT"/>
        <w:rPr>
          <w:lang w:eastAsia="ar-SA"/>
        </w:rPr>
      </w:pPr>
      <w:r>
        <w:rPr>
          <w:lang w:eastAsia="ar-SA"/>
        </w:rPr>
        <w:t xml:space="preserve">While measures to address dissensus action against media pluralism susceptible to undermine the right to information </w:t>
      </w:r>
      <w:r w:rsidR="00D1601B">
        <w:rPr>
          <w:lang w:eastAsia="ar-SA"/>
        </w:rPr>
        <w:t xml:space="preserve">and press freedom </w:t>
      </w:r>
      <w:r>
        <w:rPr>
          <w:lang w:eastAsia="ar-SA"/>
        </w:rPr>
        <w:t>will be better examined in section 4, it is to be pointed out that in Italy p</w:t>
      </w:r>
      <w:r w:rsidR="00131239" w:rsidRPr="00A84EC8">
        <w:t>rotection against</w:t>
      </w:r>
      <w:r w:rsidR="00131239" w:rsidRPr="00A84EC8">
        <w:rPr>
          <w:lang w:eastAsia="ar-SA"/>
        </w:rPr>
        <w:t xml:space="preserve"> threats to fundamental rights and freedom </w:t>
      </w:r>
      <w:r w:rsidR="00131239">
        <w:rPr>
          <w:lang w:eastAsia="ar-SA"/>
        </w:rPr>
        <w:t>from</w:t>
      </w:r>
      <w:r w:rsidR="00131239" w:rsidRPr="00A84EC8">
        <w:rPr>
          <w:lang w:eastAsia="ar-SA"/>
        </w:rPr>
        <w:t xml:space="preserve"> arbitrary exercise of power </w:t>
      </w:r>
      <w:r w:rsidR="00131239">
        <w:rPr>
          <w:lang w:eastAsia="ar-SA"/>
        </w:rPr>
        <w:t xml:space="preserve">or any dissenting action attempting to restructure liberal democracy finds its counter-limit in the supervisory work of the </w:t>
      </w:r>
      <w:r w:rsidR="00131239" w:rsidRPr="00A84EC8">
        <w:rPr>
          <w:lang w:eastAsia="ar-SA"/>
        </w:rPr>
        <w:t xml:space="preserve">Constitutional Court and the judiciary (see section 2.5 below). </w:t>
      </w:r>
      <w:r w:rsidR="00131239">
        <w:rPr>
          <w:lang w:eastAsia="ar-SA"/>
        </w:rPr>
        <w:t>In Italy, indeed, no laws can be adopted in violations of the fundamental rights and freedoms embedded in the Constitutions and any interference to citizen’s rights must be provided by law and pursuit a legitimate objective (such as, for instance, the protection of public health).</w:t>
      </w:r>
    </w:p>
    <w:p w14:paraId="156DB160" w14:textId="77777777" w:rsidR="00131239" w:rsidRDefault="00131239" w:rsidP="00F66A6B">
      <w:pPr>
        <w:pStyle w:val="MBT"/>
        <w:rPr>
          <w:lang w:eastAsia="ar-SA"/>
        </w:rPr>
      </w:pPr>
      <w:r>
        <w:rPr>
          <w:lang w:eastAsia="ar-SA"/>
        </w:rPr>
        <w:t>Furthermore</w:t>
      </w:r>
      <w:r w:rsidRPr="00A84EC8">
        <w:rPr>
          <w:lang w:eastAsia="ar-SA"/>
        </w:rPr>
        <w:t xml:space="preserve">, </w:t>
      </w:r>
      <w:r>
        <w:rPr>
          <w:lang w:eastAsia="ar-SA"/>
        </w:rPr>
        <w:t>in Italy</w:t>
      </w:r>
      <w:r w:rsidRPr="00A84EC8">
        <w:rPr>
          <w:lang w:eastAsia="ar-SA"/>
        </w:rPr>
        <w:t xml:space="preserve"> anyone may bring cases before a civil, criminal, or administrative court of law </w:t>
      </w:r>
      <w:proofErr w:type="gramStart"/>
      <w:r w:rsidRPr="00A84EC8">
        <w:rPr>
          <w:lang w:eastAsia="ar-SA"/>
        </w:rPr>
        <w:t>in order to</w:t>
      </w:r>
      <w:proofErr w:type="gramEnd"/>
      <w:r w:rsidRPr="00A84EC8">
        <w:rPr>
          <w:lang w:eastAsia="ar-SA"/>
        </w:rPr>
        <w:t xml:space="preserve"> protect their rights. Defence is indeed an inviolable right at every stage and instance of legal proceedings (Article 24). </w:t>
      </w:r>
      <w:r>
        <w:rPr>
          <w:lang w:eastAsia="ar-SA"/>
        </w:rPr>
        <w:t>Being a Party to the European Convention on Human Rights</w:t>
      </w:r>
      <w:r w:rsidRPr="00A84EC8">
        <w:rPr>
          <w:lang w:eastAsia="ar-SA"/>
        </w:rPr>
        <w:t xml:space="preserve">, citizens complaining about a violation of a fundamental human right may </w:t>
      </w:r>
      <w:r>
        <w:rPr>
          <w:lang w:eastAsia="ar-SA"/>
        </w:rPr>
        <w:t xml:space="preserve">also </w:t>
      </w:r>
      <w:r w:rsidRPr="00A84EC8">
        <w:rPr>
          <w:lang w:eastAsia="ar-SA"/>
        </w:rPr>
        <w:t xml:space="preserve">bring a case to the European Court of Human Rights after having unsuccessfully exerted the internal </w:t>
      </w:r>
      <w:r>
        <w:rPr>
          <w:lang w:eastAsia="ar-SA"/>
        </w:rPr>
        <w:t xml:space="preserve">(national) </w:t>
      </w:r>
      <w:r w:rsidRPr="00A84EC8">
        <w:rPr>
          <w:lang w:eastAsia="ar-SA"/>
        </w:rPr>
        <w:t xml:space="preserve">legal remedies. </w:t>
      </w:r>
    </w:p>
    <w:p w14:paraId="59DC6484" w14:textId="41A772D6" w:rsidR="00131239" w:rsidRDefault="00131239" w:rsidP="00D43697">
      <w:pPr>
        <w:pStyle w:val="MBT"/>
        <w:rPr>
          <w:lang w:eastAsia="ar-SA"/>
        </w:rPr>
      </w:pPr>
      <w:r>
        <w:rPr>
          <w:lang w:eastAsia="ar-SA"/>
        </w:rPr>
        <w:t xml:space="preserve">Aside from the role of the judiciary in the protection of fundamental human rights, Italy has established human rights monitoring bodies. </w:t>
      </w:r>
      <w:r w:rsidRPr="00982DAA">
        <w:rPr>
          <w:lang w:eastAsia="ar-SA"/>
        </w:rPr>
        <w:t>The Inter-ministerial Committee for Human Rights (CIDU)</w:t>
      </w:r>
      <w:r>
        <w:rPr>
          <w:rStyle w:val="FootnoteReference"/>
          <w:lang w:eastAsia="ar-SA"/>
        </w:rPr>
        <w:footnoteReference w:id="12"/>
      </w:r>
      <w:r w:rsidRPr="00982DAA">
        <w:rPr>
          <w:lang w:eastAsia="ar-SA"/>
        </w:rPr>
        <w:t xml:space="preserve"> is the coordinating national institution interacting with civil society, academia, and all relevant stakeholders to ensure reporting and follow-up on human rights issues</w:t>
      </w:r>
      <w:r>
        <w:rPr>
          <w:lang w:eastAsia="ar-SA"/>
        </w:rPr>
        <w:t xml:space="preserve">. Established with Ministerial Decree 15 February 1978 no 519, the CIDU aims to support the Italian Government in fulfilling Italy’s main obligations </w:t>
      </w:r>
      <w:r w:rsidRPr="00982DAA">
        <w:rPr>
          <w:lang w:eastAsia="ar-SA"/>
        </w:rPr>
        <w:t>under the numerous agreements and conventions adopted at international level in the field of the protection and promotion of human rights</w:t>
      </w:r>
      <w:r>
        <w:rPr>
          <w:lang w:eastAsia="ar-SA"/>
        </w:rPr>
        <w:t>.</w:t>
      </w:r>
      <w:r w:rsidR="00D43697">
        <w:rPr>
          <w:lang w:eastAsia="ar-SA"/>
        </w:rPr>
        <w:t xml:space="preserve"> </w:t>
      </w:r>
      <w:r>
        <w:rPr>
          <w:lang w:eastAsia="ar-SA"/>
        </w:rPr>
        <w:t>Furthermore, t</w:t>
      </w:r>
      <w:r w:rsidRPr="00982DAA">
        <w:rPr>
          <w:lang w:eastAsia="ar-SA"/>
        </w:rPr>
        <w:t xml:space="preserve">he CIDU performs </w:t>
      </w:r>
      <w:r>
        <w:rPr>
          <w:lang w:eastAsia="ar-SA"/>
        </w:rPr>
        <w:t>acts as</w:t>
      </w:r>
      <w:r w:rsidRPr="00982DAA">
        <w:rPr>
          <w:lang w:eastAsia="ar-SA"/>
        </w:rPr>
        <w:t xml:space="preserve"> focal point</w:t>
      </w:r>
      <w:r>
        <w:rPr>
          <w:lang w:eastAsia="ar-SA"/>
        </w:rPr>
        <w:t xml:space="preserve"> for</w:t>
      </w:r>
      <w:r w:rsidRPr="00982DAA">
        <w:rPr>
          <w:lang w:eastAsia="ar-SA"/>
        </w:rPr>
        <w:t xml:space="preserve"> the monitoring bodies of the international organisations of the United Nations, the Council of Europe, and the European Union.</w:t>
      </w:r>
      <w:r w:rsidR="00120AF2">
        <w:rPr>
          <w:lang w:eastAsia="ar-SA"/>
        </w:rPr>
        <w:t xml:space="preserve"> </w:t>
      </w:r>
      <w:r w:rsidR="00B74527">
        <w:rPr>
          <w:lang w:eastAsia="ar-SA"/>
        </w:rPr>
        <w:t xml:space="preserve">Hence, the CIDU prepares the periodic reports that Italy must submit to the respective international monitoring bodies verifying the status of implementation of the recommendations that the aforementioned bodies formulate following particular examinations or visits to the country. The CIDU also reports on its work to Parliament, in an Annual Report and through regular hearings of its President. </w:t>
      </w:r>
    </w:p>
    <w:p w14:paraId="4CE8A58B" w14:textId="622BD1D5" w:rsidR="000642F6" w:rsidRDefault="006E7833" w:rsidP="000642F6">
      <w:pPr>
        <w:pStyle w:val="MBT"/>
        <w:rPr>
          <w:lang w:eastAsia="ar-SA"/>
        </w:rPr>
      </w:pPr>
      <w:r>
        <w:rPr>
          <w:lang w:eastAsia="ar-SA"/>
        </w:rPr>
        <w:t xml:space="preserve">The Italian legal system provides a legal framework for the </w:t>
      </w:r>
      <w:r w:rsidR="000642F6">
        <w:rPr>
          <w:lang w:eastAsia="ar-SA"/>
        </w:rPr>
        <w:t xml:space="preserve">balancing of rights and interests of the Italian </w:t>
      </w:r>
      <w:proofErr w:type="gramStart"/>
      <w:r w:rsidR="000642F6">
        <w:rPr>
          <w:lang w:eastAsia="ar-SA"/>
        </w:rPr>
        <w:t>society as a whole</w:t>
      </w:r>
      <w:r>
        <w:rPr>
          <w:lang w:eastAsia="ar-SA"/>
        </w:rPr>
        <w:t>, with</w:t>
      </w:r>
      <w:proofErr w:type="gramEnd"/>
      <w:r>
        <w:rPr>
          <w:lang w:eastAsia="ar-SA"/>
        </w:rPr>
        <w:t xml:space="preserve"> </w:t>
      </w:r>
      <w:r w:rsidR="000642F6">
        <w:rPr>
          <w:lang w:eastAsia="ar-SA"/>
        </w:rPr>
        <w:t>the popular legislative initiative, expression of the right to participate in the political life. The power granted to citizens to in</w:t>
      </w:r>
      <w:r w:rsidR="00027C38">
        <w:rPr>
          <w:lang w:eastAsia="ar-SA"/>
        </w:rPr>
        <w:t>stigate</w:t>
      </w:r>
      <w:r w:rsidR="000642F6">
        <w:rPr>
          <w:lang w:eastAsia="ar-SA"/>
        </w:rPr>
        <w:t xml:space="preserve"> the legislative process is embedded in Article 71 of the Italian Constitution and </w:t>
      </w:r>
      <w:r w:rsidR="000642F6">
        <w:rPr>
          <w:rFonts w:cs="Arial"/>
          <w:color w:val="202122"/>
          <w:sz w:val="21"/>
          <w:szCs w:val="21"/>
          <w:shd w:val="clear" w:color="auto" w:fill="FFFFFF"/>
        </w:rPr>
        <w:t> it is not an institution of participatory democracy since the sole will of the electorate does not in itself produce legal  effects</w:t>
      </w:r>
      <w:r w:rsidR="000642F6">
        <w:rPr>
          <w:lang w:eastAsia="ar-SA"/>
        </w:rPr>
        <w:t xml:space="preserve">. In practice, the Parliament is  not obliged to rule on popular initiative proposals and there are not mechanisms that guarantee significant forms </w:t>
      </w:r>
      <w:r w:rsidR="000642F6">
        <w:rPr>
          <w:lang w:eastAsia="ar-SA"/>
        </w:rPr>
        <w:lastRenderedPageBreak/>
        <w:t>of procedural priority.</w:t>
      </w:r>
      <w:r w:rsidR="00027C38">
        <w:rPr>
          <w:lang w:eastAsia="ar-SA"/>
        </w:rPr>
        <w:t xml:space="preserve"> B</w:t>
      </w:r>
      <w:r w:rsidR="00027C38" w:rsidRPr="00027C38">
        <w:rPr>
          <w:lang w:eastAsia="ar-SA"/>
        </w:rPr>
        <w:t>etween 1979 and 2014</w:t>
      </w:r>
      <w:r w:rsidR="00027C38">
        <w:rPr>
          <w:lang w:eastAsia="ar-SA"/>
        </w:rPr>
        <w:t>,</w:t>
      </w:r>
      <w:r w:rsidR="00027C38" w:rsidRPr="00027C38">
        <w:rPr>
          <w:lang w:eastAsia="ar-SA"/>
        </w:rPr>
        <w:t xml:space="preserve"> 260 proposals were presented to the </w:t>
      </w:r>
      <w:r w:rsidR="00027C38">
        <w:rPr>
          <w:lang w:eastAsia="ar-SA"/>
        </w:rPr>
        <w:t xml:space="preserve">Parliament </w:t>
      </w:r>
      <w:r w:rsidR="00027C38" w:rsidRPr="00027C38">
        <w:rPr>
          <w:lang w:eastAsia="ar-SA"/>
        </w:rPr>
        <w:t xml:space="preserve">and 1.15% </w:t>
      </w:r>
      <w:r w:rsidR="00027C38">
        <w:rPr>
          <w:lang w:eastAsia="ar-SA"/>
        </w:rPr>
        <w:t xml:space="preserve">become law. The supervision of the Parliament over the popular legislative action indeed allows to balance between citizens ‘right to participate (and to express their dissensus through legislative proposals) and the democratic principle to which the Parliament is the ultimate expression. </w:t>
      </w:r>
    </w:p>
    <w:p w14:paraId="31D50FDD" w14:textId="77777777" w:rsidR="00131239" w:rsidRPr="00060D7C" w:rsidRDefault="00131239" w:rsidP="00AD3D7D">
      <w:pPr>
        <w:pStyle w:val="MH2"/>
        <w:rPr>
          <w:lang w:val="en-US"/>
        </w:rPr>
      </w:pPr>
      <w:r w:rsidRPr="00060D7C">
        <w:rPr>
          <w:lang w:val="en-US"/>
        </w:rPr>
        <w:t>Protection of Judicial Independence</w:t>
      </w:r>
    </w:p>
    <w:p w14:paraId="2AA77CF2" w14:textId="2694F069" w:rsidR="005C3578" w:rsidRPr="008903C4" w:rsidRDefault="005C3578" w:rsidP="00F66A6B">
      <w:pPr>
        <w:pStyle w:val="MBT"/>
      </w:pPr>
      <w:r>
        <w:t>In Italy, t</w:t>
      </w:r>
      <w:r w:rsidR="00131239" w:rsidRPr="00060D7C">
        <w:t xml:space="preserve">he structure of the justice system is set out in the Constitution, which enshrines its independence and </w:t>
      </w:r>
      <w:r w:rsidR="00131239">
        <w:t>impartiality</w:t>
      </w:r>
      <w:r w:rsidR="00131239" w:rsidRPr="00060D7C">
        <w:t xml:space="preserve">. </w:t>
      </w:r>
      <w:r>
        <w:t xml:space="preserve">As it will be explained below, the </w:t>
      </w:r>
      <w:r w:rsidRPr="007433AB">
        <w:t>Italian judiciary appears sufficiently protected from direct political pressure</w:t>
      </w:r>
      <w:r w:rsidRPr="008903C4">
        <w:t>. However, threats to the rule of law as it regards the division of powers among institutions of the State have recently come not from the executive of legislative power but from the judiciary itself. Observers have indeed warned about improper internal influences of the Superior Council of the Judiciary over matters related to promotion of judges and internal distribution of cases</w:t>
      </w:r>
      <w:r w:rsidRPr="008903C4">
        <w:rPr>
          <w:rStyle w:val="FootnoteReference"/>
        </w:rPr>
        <w:footnoteReference w:id="13"/>
      </w:r>
      <w:r w:rsidRPr="008903C4">
        <w:t>.</w:t>
      </w:r>
    </w:p>
    <w:p w14:paraId="55CE510C" w14:textId="26B040D2" w:rsidR="00131239" w:rsidRPr="008903C4" w:rsidRDefault="005C3578" w:rsidP="00F66A6B">
      <w:pPr>
        <w:pStyle w:val="MBT"/>
      </w:pPr>
      <w:r w:rsidRPr="008903C4">
        <w:t>Specifically, the</w:t>
      </w:r>
      <w:r w:rsidR="00131239" w:rsidRPr="008903C4">
        <w:t xml:space="preserve"> principle of impartiality of judges is ensured</w:t>
      </w:r>
      <w:r w:rsidRPr="008903C4">
        <w:t xml:space="preserve"> in Italy</w:t>
      </w:r>
      <w:r w:rsidR="00131239" w:rsidRPr="008903C4">
        <w:t xml:space="preserve"> by the provisions of the Constitution concerning the prohibition to institute ex officio proceedings (Article 24(1)); the establishment of judges by law (Article 25(1)); the prohibition to set up extraordinary (or special) courts (Article 102, Constitution). The independence of the judiciary is instead enshrined in Article 101 of the Italian Constitution. Accordingly, ‘judges are subject only to the law’.   </w:t>
      </w:r>
    </w:p>
    <w:p w14:paraId="6708294D" w14:textId="7CF15DAD" w:rsidR="00131239" w:rsidRPr="008903C4" w:rsidRDefault="00131239" w:rsidP="00F66A6B">
      <w:pPr>
        <w:pStyle w:val="MBT"/>
      </w:pPr>
      <w:r w:rsidRPr="008903C4">
        <w:t xml:space="preserve">In Italy, </w:t>
      </w:r>
      <w:r w:rsidR="005C3578" w:rsidRPr="008903C4">
        <w:t xml:space="preserve">and </w:t>
      </w:r>
      <w:r w:rsidRPr="008903C4">
        <w:t xml:space="preserve">thanks to </w:t>
      </w:r>
      <w:r w:rsidR="005C3578" w:rsidRPr="008903C4">
        <w:t>its</w:t>
      </w:r>
      <w:r w:rsidRPr="008903C4">
        <w:t xml:space="preserve"> organizational structure of self-governance</w:t>
      </w:r>
      <w:r w:rsidR="005C3578" w:rsidRPr="008903C4">
        <w:t>,</w:t>
      </w:r>
      <w:r w:rsidRPr="008903C4">
        <w:t xml:space="preserve"> the judiciary is institutionally free from outside interference. To protect judicial independence, Article 105 of the Italian Constitution indeed provides that all decisions concerning judges (e.g. promotions, transfers, discipline etc.) shall be taken within the exclusive competence of the Superior Council of the Judiciary (</w:t>
      </w:r>
      <w:proofErr w:type="spellStart"/>
      <w:r w:rsidRPr="008903C4">
        <w:t>Consiglio</w:t>
      </w:r>
      <w:proofErr w:type="spellEnd"/>
      <w:r w:rsidRPr="008903C4">
        <w:t xml:space="preserve"> </w:t>
      </w:r>
      <w:proofErr w:type="spellStart"/>
      <w:r w:rsidRPr="008903C4">
        <w:t>Superiore</w:t>
      </w:r>
      <w:proofErr w:type="spellEnd"/>
      <w:r w:rsidRPr="008903C4">
        <w:t xml:space="preserve"> </w:t>
      </w:r>
      <w:proofErr w:type="spellStart"/>
      <w:r w:rsidRPr="008903C4">
        <w:t>della</w:t>
      </w:r>
      <w:proofErr w:type="spellEnd"/>
      <w:r w:rsidRPr="008903C4">
        <w:t xml:space="preserve"> </w:t>
      </w:r>
      <w:proofErr w:type="spellStart"/>
      <w:r w:rsidRPr="008903C4">
        <w:t>Magistratura</w:t>
      </w:r>
      <w:proofErr w:type="spellEnd"/>
      <w:r w:rsidRPr="008903C4">
        <w:t>; hereafter: CSM) predominantly composed of magistrates elected by judges (two third) and by the Parliament (one third). The President of the Republic, the First President of the Court of Cassation, and the Prosecutor General at the Court of Cassation are ex officio members of the CSM. Appeals against decisions of the CSM can be brought before the Supreme Court of Cassation (disciplinary decisions) or administrative courts (decisions on career, professional evaluation, or transfer).</w:t>
      </w:r>
    </w:p>
    <w:p w14:paraId="66B3B069" w14:textId="527FF3AD" w:rsidR="005C3578" w:rsidRPr="008903C4" w:rsidRDefault="005C3578" w:rsidP="005C3578">
      <w:pPr>
        <w:pStyle w:val="MBT"/>
      </w:pPr>
      <w:r w:rsidRPr="008903C4">
        <w:t>Yet</w:t>
      </w:r>
      <w:r w:rsidR="00131239" w:rsidRPr="008903C4">
        <w:t xml:space="preserve">, the CSM has acquired considerable influence over the decisions of the executive and legislative powers concerning matters affecting judicial system. The expansion of the powers of the CSM has taken place through a liberal and expansive interpretation of the powers granted to the CSM to promoting, </w:t>
      </w:r>
      <w:proofErr w:type="gramStart"/>
      <w:r w:rsidR="00131239" w:rsidRPr="008903C4">
        <w:t>protecting</w:t>
      </w:r>
      <w:proofErr w:type="gramEnd"/>
      <w:r w:rsidR="00131239" w:rsidRPr="008903C4">
        <w:t xml:space="preserve"> and defending judicial independence</w:t>
      </w:r>
      <w:r w:rsidR="00131239" w:rsidRPr="008903C4">
        <w:rPr>
          <w:rStyle w:val="FootnoteReference"/>
        </w:rPr>
        <w:footnoteReference w:id="14"/>
      </w:r>
      <w:r w:rsidR="00131239" w:rsidRPr="008903C4">
        <w:t xml:space="preserve">. Hence, the CSM has extended its power related to the organization and functioning of the courts; education and training; and opinion concerning legislative initiatives. </w:t>
      </w:r>
      <w:r w:rsidRPr="008903C4">
        <w:t>Furthermore, i</w:t>
      </w:r>
      <w:r w:rsidR="00131239" w:rsidRPr="008903C4">
        <w:t>n Italy judges organised themselves in political association normally reflecting the political movements existing within the State.</w:t>
      </w:r>
    </w:p>
    <w:p w14:paraId="16894CAA" w14:textId="69024EC4" w:rsidR="00131239" w:rsidRPr="008903C4" w:rsidRDefault="00131239" w:rsidP="005C3578">
      <w:pPr>
        <w:pStyle w:val="MBT"/>
      </w:pPr>
      <w:r w:rsidRPr="008903C4">
        <w:t>A major concern regarding the CSM elections is that judge-members are elected not on merits but based on affiliation to a particular association.  In such context, in 2019 members of political associations within the CSM have faced challenges in relation to allegations of corruption concerning the appointment of high-level prosecutors and attempts to politically influence the outcome of politically sensitive criminal investigations</w:t>
      </w:r>
      <w:r w:rsidRPr="008903C4">
        <w:rPr>
          <w:rStyle w:val="FootnoteReference"/>
        </w:rPr>
        <w:footnoteReference w:id="15"/>
      </w:r>
      <w:r w:rsidRPr="008903C4">
        <w:t xml:space="preserve">. The inherent autonomy of the judiciary from external interference has however resulted in the instigation of internal investigation which led to the resignation of five members of the CSM: to the expulsions and new elections of the CSM and to </w:t>
      </w:r>
      <w:r w:rsidRPr="008903C4">
        <w:lastRenderedPageBreak/>
        <w:t xml:space="preserve">disciplinary proceedings.  Furthermore, to fight corruption within the judiciary and upheld the rule of law on 7 August 2020 the Government proposed a draft law reforming the High Council (see in this respect, section </w:t>
      </w:r>
      <w:r w:rsidR="00B53AEC" w:rsidRPr="008903C4">
        <w:t>4</w:t>
      </w:r>
      <w:r w:rsidRPr="008903C4">
        <w:t>.2).</w:t>
      </w:r>
    </w:p>
    <w:p w14:paraId="2C4EDF6A" w14:textId="77777777" w:rsidR="00131239" w:rsidRDefault="00131239" w:rsidP="00F66A6B">
      <w:pPr>
        <w:pStyle w:val="MBT"/>
      </w:pPr>
      <w:r w:rsidRPr="008903C4">
        <w:t>The internal structure of the CSM and the self-organization powers to it mandated by law hence provide a strong counter-limit against any external influence attempting to restructure the independence and impartiality of the judiciary.</w:t>
      </w:r>
    </w:p>
    <w:p w14:paraId="68DDAE30" w14:textId="219FA584" w:rsidR="00131239" w:rsidRDefault="00131239" w:rsidP="005C3578">
      <w:pPr>
        <w:pStyle w:val="MH1"/>
        <w:rPr>
          <w:lang w:val="en-US"/>
        </w:rPr>
      </w:pPr>
      <w:bookmarkStart w:id="11" w:name="_Toc131597978"/>
      <w:r w:rsidRPr="00A84EC8">
        <w:rPr>
          <w:lang w:val="en-US"/>
        </w:rPr>
        <w:lastRenderedPageBreak/>
        <w:t>Judicial intervention</w:t>
      </w:r>
      <w:bookmarkEnd w:id="11"/>
      <w:r w:rsidRPr="00A84EC8">
        <w:rPr>
          <w:lang w:val="en-US"/>
        </w:rPr>
        <w:t xml:space="preserve">  </w:t>
      </w:r>
    </w:p>
    <w:p w14:paraId="1B70489F" w14:textId="77777777" w:rsidR="00131239" w:rsidRPr="00A84EC8" w:rsidRDefault="00131239" w:rsidP="00F66A6B">
      <w:pPr>
        <w:pStyle w:val="MBT"/>
        <w:rPr>
          <w:lang w:eastAsia="ar-SA"/>
        </w:rPr>
      </w:pPr>
      <w:r>
        <w:rPr>
          <w:lang w:val="en-US"/>
        </w:rPr>
        <w:t>As explained above, in Italy the principle of the rule of law and the protection of fundamental human rights</w:t>
      </w:r>
      <w:r w:rsidRPr="00A84EC8">
        <w:rPr>
          <w:lang w:eastAsia="ar-SA"/>
        </w:rPr>
        <w:t xml:space="preserve"> </w:t>
      </w:r>
      <w:r>
        <w:rPr>
          <w:lang w:eastAsia="ar-SA"/>
        </w:rPr>
        <w:t>are</w:t>
      </w:r>
      <w:r w:rsidRPr="00A84EC8">
        <w:rPr>
          <w:lang w:eastAsia="ar-SA"/>
        </w:rPr>
        <w:t xml:space="preserve"> enshrined in the Italian Constitution</w:t>
      </w:r>
      <w:r>
        <w:rPr>
          <w:lang w:eastAsia="ar-SA"/>
        </w:rPr>
        <w:t xml:space="preserve">. </w:t>
      </w:r>
      <w:r w:rsidRPr="00A84EC8">
        <w:rPr>
          <w:lang w:eastAsia="ar-SA"/>
        </w:rPr>
        <w:t xml:space="preserve">When exercising </w:t>
      </w:r>
      <w:r>
        <w:rPr>
          <w:lang w:eastAsia="ar-SA"/>
        </w:rPr>
        <w:t>their</w:t>
      </w:r>
      <w:r w:rsidRPr="00A84EC8">
        <w:rPr>
          <w:lang w:eastAsia="ar-SA"/>
        </w:rPr>
        <w:t xml:space="preserve"> legislative and executive powers, public authorities</w:t>
      </w:r>
      <w:r>
        <w:rPr>
          <w:lang w:eastAsia="ar-SA"/>
        </w:rPr>
        <w:t xml:space="preserve"> </w:t>
      </w:r>
      <w:r w:rsidRPr="00A84EC8">
        <w:rPr>
          <w:lang w:eastAsia="ar-SA"/>
        </w:rPr>
        <w:t xml:space="preserve">must conform to the procedures and fundamental guarantees laid down by the Constitution. No legal norm or rule can be issued by ordinary or secondary law whose content is contrary to the general principles and norms set forth in the Constitution. </w:t>
      </w:r>
    </w:p>
    <w:p w14:paraId="3D9EC5CB" w14:textId="77777777" w:rsidR="00131239" w:rsidRDefault="00131239" w:rsidP="00F66A6B">
      <w:pPr>
        <w:pStyle w:val="MBT"/>
        <w:rPr>
          <w:lang w:eastAsia="ar-SA"/>
        </w:rPr>
      </w:pPr>
      <w:r w:rsidRPr="00A84EC8">
        <w:rPr>
          <w:lang w:eastAsia="ar-SA"/>
        </w:rPr>
        <w:t>In Italy,</w:t>
      </w:r>
      <w:r>
        <w:rPr>
          <w:lang w:eastAsia="ar-SA"/>
        </w:rPr>
        <w:t xml:space="preserve"> </w:t>
      </w:r>
      <w:r w:rsidRPr="00A84EC8">
        <w:rPr>
          <w:lang w:eastAsia="ar-SA"/>
        </w:rPr>
        <w:t>there is no established rule of law</w:t>
      </w:r>
      <w:r>
        <w:rPr>
          <w:lang w:eastAsia="ar-SA"/>
        </w:rPr>
        <w:t xml:space="preserve"> toolkit to address threats to the rule of law within the national system. Yet, since the protection and respect of the rule of law and fundamental rights is embedded in the Italian Constitution, the Constitutional Court has the role to monitoring and set aside any normative or administrative acts of public authorities adopted in violations of the fundamental rights and principles of the State.</w:t>
      </w:r>
    </w:p>
    <w:p w14:paraId="2C781530" w14:textId="77777777" w:rsidR="00663C14" w:rsidRDefault="00131239" w:rsidP="00F66A6B">
      <w:pPr>
        <w:pStyle w:val="MBT"/>
        <w:rPr>
          <w:lang w:eastAsia="ar-SA"/>
        </w:rPr>
      </w:pPr>
      <w:r>
        <w:rPr>
          <w:lang w:eastAsia="ar-SA"/>
        </w:rPr>
        <w:t xml:space="preserve">Recently, the Constitutional Court has been pivotal in setting aside ordinary laws passed by the Parliament in violation of protected fundamental rights. The rise of the </w:t>
      </w:r>
      <w:r w:rsidRPr="00751E07">
        <w:rPr>
          <w:lang w:eastAsia="ar-SA"/>
        </w:rPr>
        <w:t>‘</w:t>
      </w:r>
      <w:proofErr w:type="gramStart"/>
      <w:r w:rsidRPr="00751E07">
        <w:rPr>
          <w:lang w:eastAsia="ar-SA"/>
        </w:rPr>
        <w:t>yellow-green</w:t>
      </w:r>
      <w:proofErr w:type="gramEnd"/>
      <w:r w:rsidRPr="00751E07">
        <w:rPr>
          <w:lang w:eastAsia="ar-SA"/>
        </w:rPr>
        <w:t xml:space="preserve">’ coalition between the Northern League and the </w:t>
      </w:r>
      <w:r>
        <w:rPr>
          <w:lang w:eastAsia="ar-SA"/>
        </w:rPr>
        <w:t>MVS</w:t>
      </w:r>
      <w:r w:rsidRPr="00751E07">
        <w:rPr>
          <w:lang w:eastAsia="ar-SA"/>
        </w:rPr>
        <w:t>, represented by the first Conte government (2018-2019)</w:t>
      </w:r>
      <w:r>
        <w:rPr>
          <w:lang w:eastAsia="ar-SA"/>
        </w:rPr>
        <w:t>, has led</w:t>
      </w:r>
      <w:r w:rsidR="00663C14">
        <w:rPr>
          <w:lang w:eastAsia="ar-SA"/>
        </w:rPr>
        <w:t>, as mentioned above,</w:t>
      </w:r>
      <w:r>
        <w:rPr>
          <w:lang w:eastAsia="ar-SA"/>
        </w:rPr>
        <w:t xml:space="preserve"> to the introduction of restrictive laws on immigration and asylum rights, invoked as political strategy to capitalise resentment of right-wing movements against immigration and the European Union. </w:t>
      </w:r>
    </w:p>
    <w:p w14:paraId="0F16C1E9" w14:textId="27E9C148" w:rsidR="00131239" w:rsidRDefault="001B6DF1" w:rsidP="00F66A6B">
      <w:pPr>
        <w:pStyle w:val="MBT"/>
        <w:rPr>
          <w:lang w:eastAsia="ar-SA"/>
        </w:rPr>
      </w:pPr>
      <w:r>
        <w:rPr>
          <w:lang w:eastAsia="ar-SA"/>
        </w:rPr>
        <w:t>A</w:t>
      </w:r>
      <w:r w:rsidR="00D43697">
        <w:rPr>
          <w:lang w:eastAsia="ar-SA"/>
        </w:rPr>
        <w:t>s explained above, the</w:t>
      </w:r>
      <w:r w:rsidR="00D43697" w:rsidRPr="00B94800">
        <w:rPr>
          <w:lang w:eastAsia="ar-SA"/>
        </w:rPr>
        <w:t xml:space="preserve"> </w:t>
      </w:r>
      <w:r w:rsidR="00131239" w:rsidRPr="00B94800">
        <w:rPr>
          <w:lang w:eastAsia="ar-SA"/>
        </w:rPr>
        <w:t xml:space="preserve">so called </w:t>
      </w:r>
      <w:proofErr w:type="spellStart"/>
      <w:r w:rsidR="00131239" w:rsidRPr="00B94800">
        <w:rPr>
          <w:lang w:eastAsia="ar-SA"/>
        </w:rPr>
        <w:t>Decreto</w:t>
      </w:r>
      <w:proofErr w:type="spellEnd"/>
      <w:r w:rsidR="00131239" w:rsidRPr="00B94800">
        <w:rPr>
          <w:lang w:eastAsia="ar-SA"/>
        </w:rPr>
        <w:t xml:space="preserve"> </w:t>
      </w:r>
      <w:proofErr w:type="spellStart"/>
      <w:r w:rsidR="00131239" w:rsidRPr="00B94800">
        <w:rPr>
          <w:lang w:eastAsia="ar-SA"/>
        </w:rPr>
        <w:t>Sicurezza</w:t>
      </w:r>
      <w:proofErr w:type="spellEnd"/>
      <w:r w:rsidR="00131239" w:rsidRPr="00B94800">
        <w:rPr>
          <w:lang w:eastAsia="ar-SA"/>
        </w:rPr>
        <w:t xml:space="preserve"> and </w:t>
      </w:r>
      <w:proofErr w:type="spellStart"/>
      <w:r w:rsidR="00131239" w:rsidRPr="00B94800">
        <w:rPr>
          <w:lang w:eastAsia="ar-SA"/>
        </w:rPr>
        <w:t>Decreto</w:t>
      </w:r>
      <w:proofErr w:type="spellEnd"/>
      <w:r w:rsidR="00131239" w:rsidRPr="00B94800">
        <w:rPr>
          <w:lang w:eastAsia="ar-SA"/>
        </w:rPr>
        <w:t xml:space="preserve"> </w:t>
      </w:r>
      <w:proofErr w:type="spellStart"/>
      <w:r w:rsidR="00131239" w:rsidRPr="00B94800">
        <w:rPr>
          <w:lang w:eastAsia="ar-SA"/>
        </w:rPr>
        <w:t>Sicurezza</w:t>
      </w:r>
      <w:proofErr w:type="spellEnd"/>
      <w:r w:rsidR="00131239" w:rsidRPr="00B94800">
        <w:rPr>
          <w:lang w:eastAsia="ar-SA"/>
        </w:rPr>
        <w:t xml:space="preserve"> bis</w:t>
      </w:r>
      <w:r w:rsidR="00131239">
        <w:rPr>
          <w:rStyle w:val="FootnoteReference"/>
          <w:lang w:eastAsia="ar-SA"/>
        </w:rPr>
        <w:footnoteReference w:id="16"/>
      </w:r>
      <w:r w:rsidR="00131239">
        <w:rPr>
          <w:lang w:eastAsia="ar-SA"/>
        </w:rPr>
        <w:t xml:space="preserve"> restricted access to the Italian borders for humanitarian reasons and increased the number of offences related to illegal immigration by sea. </w:t>
      </w:r>
      <w:r w:rsidR="00131239" w:rsidRPr="00B94800">
        <w:rPr>
          <w:lang w:eastAsia="ar-SA"/>
        </w:rPr>
        <w:t xml:space="preserve">However, the </w:t>
      </w:r>
      <w:r w:rsidR="00131239">
        <w:rPr>
          <w:lang w:eastAsia="ar-SA"/>
        </w:rPr>
        <w:t xml:space="preserve">Constitutional </w:t>
      </w:r>
      <w:r w:rsidR="00131239" w:rsidRPr="00B94800">
        <w:rPr>
          <w:lang w:eastAsia="ar-SA"/>
        </w:rPr>
        <w:t xml:space="preserve">Court </w:t>
      </w:r>
      <w:r w:rsidR="00131239">
        <w:rPr>
          <w:lang w:eastAsia="ar-SA"/>
        </w:rPr>
        <w:t xml:space="preserve">set aside several provisions </w:t>
      </w:r>
      <w:r w:rsidR="00131239" w:rsidRPr="00B94800">
        <w:rPr>
          <w:lang w:eastAsia="ar-SA"/>
        </w:rPr>
        <w:t>for violation of Article 3</w:t>
      </w:r>
      <w:r w:rsidR="00131239">
        <w:rPr>
          <w:lang w:eastAsia="ar-SA"/>
        </w:rPr>
        <w:t xml:space="preserve"> (equality before the law)</w:t>
      </w:r>
      <w:r w:rsidR="00131239" w:rsidRPr="00B94800">
        <w:rPr>
          <w:lang w:eastAsia="ar-SA"/>
        </w:rPr>
        <w:t xml:space="preserve"> of the Constitution</w:t>
      </w:r>
      <w:r w:rsidR="00131239">
        <w:rPr>
          <w:lang w:eastAsia="ar-SA"/>
        </w:rPr>
        <w:t xml:space="preserve">. Specifically, the Constitutional Court found that </w:t>
      </w:r>
      <w:r w:rsidR="00131239" w:rsidRPr="00B94800">
        <w:rPr>
          <w:lang w:eastAsia="ar-SA"/>
        </w:rPr>
        <w:t>the censured rule</w:t>
      </w:r>
      <w:r w:rsidR="00131239">
        <w:rPr>
          <w:lang w:eastAsia="ar-SA"/>
        </w:rPr>
        <w:t>s</w:t>
      </w:r>
      <w:r w:rsidR="00131239" w:rsidRPr="00B94800">
        <w:rPr>
          <w:lang w:eastAsia="ar-SA"/>
        </w:rPr>
        <w:t xml:space="preserve"> d</w:t>
      </w:r>
      <w:r w:rsidR="00131239">
        <w:rPr>
          <w:lang w:eastAsia="ar-SA"/>
        </w:rPr>
        <w:t>id</w:t>
      </w:r>
      <w:r w:rsidR="00131239" w:rsidRPr="00B94800">
        <w:rPr>
          <w:lang w:eastAsia="ar-SA"/>
        </w:rPr>
        <w:t xml:space="preserve"> not facilitate the pursuit of the territorial control declared by the Security Decree</w:t>
      </w:r>
      <w:r w:rsidR="00131239">
        <w:rPr>
          <w:lang w:eastAsia="ar-SA"/>
        </w:rPr>
        <w:t xml:space="preserve"> and made it </w:t>
      </w:r>
      <w:r w:rsidR="00131239" w:rsidRPr="00B94800">
        <w:rPr>
          <w:lang w:eastAsia="ar-SA"/>
        </w:rPr>
        <w:t xml:space="preserve">unjustifiably more difficult for asylum seekers to access services that </w:t>
      </w:r>
      <w:r w:rsidR="00131239">
        <w:rPr>
          <w:lang w:eastAsia="ar-SA"/>
        </w:rPr>
        <w:t>should be</w:t>
      </w:r>
      <w:r w:rsidR="00131239" w:rsidRPr="00B94800">
        <w:rPr>
          <w:lang w:eastAsia="ar-SA"/>
        </w:rPr>
        <w:t xml:space="preserve"> guaranteed to them</w:t>
      </w:r>
      <w:r w:rsidR="00131239">
        <w:rPr>
          <w:lang w:eastAsia="ar-SA"/>
        </w:rPr>
        <w:t>.</w:t>
      </w:r>
    </w:p>
    <w:p w14:paraId="7719ADDB" w14:textId="24B654F8" w:rsidR="00131239" w:rsidRDefault="00131239" w:rsidP="00F66A6B">
      <w:pPr>
        <w:pStyle w:val="MBT"/>
        <w:rPr>
          <w:lang w:eastAsia="ar-SA"/>
        </w:rPr>
      </w:pPr>
      <w:r>
        <w:rPr>
          <w:lang w:eastAsia="ar-SA"/>
        </w:rPr>
        <w:t>The role of the judiciary in protecting the rule of law and monitoring that the checks and balances between power are respected is, however, not limited to the Constitutional Court. In Italy, Administrative Courts can hear cases related to abuse of administrative power, while civil and criminal courts can hear cases related to human rights abuses. By way of example,</w:t>
      </w:r>
      <w:r w:rsidR="001B6DF1">
        <w:rPr>
          <w:lang w:eastAsia="ar-SA"/>
        </w:rPr>
        <w:t xml:space="preserve"> and as explained above,</w:t>
      </w:r>
      <w:r>
        <w:rPr>
          <w:lang w:eastAsia="ar-SA"/>
        </w:rPr>
        <w:t xml:space="preserve"> the former Minister of the Interior and Leader of Lega Nord, is currently under criminal investigation for </w:t>
      </w:r>
      <w:r w:rsidRPr="00D30B67">
        <w:rPr>
          <w:lang w:eastAsia="ar-SA"/>
        </w:rPr>
        <w:t>unlawfully den</w:t>
      </w:r>
      <w:r>
        <w:rPr>
          <w:lang w:eastAsia="ar-SA"/>
        </w:rPr>
        <w:t>ying</w:t>
      </w:r>
      <w:r w:rsidRPr="00D30B67">
        <w:rPr>
          <w:lang w:eastAsia="ar-SA"/>
        </w:rPr>
        <w:t xml:space="preserve"> the NGO Open Arms, with 147 refugees rescued at sea, to land in Lampedusa</w:t>
      </w:r>
      <w:r>
        <w:rPr>
          <w:lang w:eastAsia="ar-SA"/>
        </w:rPr>
        <w:t xml:space="preserve"> and </w:t>
      </w:r>
      <w:r w:rsidRPr="00D30B67">
        <w:rPr>
          <w:lang w:eastAsia="ar-SA"/>
        </w:rPr>
        <w:t xml:space="preserve">illegitimately depriving them of personal freedom. </w:t>
      </w:r>
      <w:r>
        <w:rPr>
          <w:lang w:eastAsia="ar-SA"/>
        </w:rPr>
        <w:t xml:space="preserve"> The judicial intervention followed the increased right-wing populist action and propaganda carried out in 2018 by Lega Nord against immigrants and asylum seeker.</w:t>
      </w:r>
    </w:p>
    <w:p w14:paraId="50A024A4" w14:textId="77777777" w:rsidR="00131239" w:rsidRPr="00A84EC8" w:rsidRDefault="00131239" w:rsidP="00565F09">
      <w:pPr>
        <w:pStyle w:val="MH1"/>
        <w:jc w:val="left"/>
        <w:rPr>
          <w:lang w:val="en-US"/>
        </w:rPr>
      </w:pPr>
      <w:bookmarkStart w:id="12" w:name="_Toc131597979"/>
      <w:r w:rsidRPr="00A84EC8">
        <w:rPr>
          <w:lang w:val="en-US"/>
        </w:rPr>
        <w:lastRenderedPageBreak/>
        <w:t xml:space="preserve">Recent Trends </w:t>
      </w:r>
      <w:r>
        <w:rPr>
          <w:lang w:val="en-US"/>
        </w:rPr>
        <w:t>on the implementation of the</w:t>
      </w:r>
      <w:r w:rsidRPr="00A84EC8">
        <w:rPr>
          <w:lang w:val="en-US"/>
        </w:rPr>
        <w:t xml:space="preserve"> Rule of Law </w:t>
      </w:r>
      <w:r>
        <w:rPr>
          <w:lang w:val="en-US"/>
        </w:rPr>
        <w:t xml:space="preserve">facing threats from dissension </w:t>
      </w:r>
      <w:proofErr w:type="gramStart"/>
      <w:r>
        <w:rPr>
          <w:lang w:val="en-US"/>
        </w:rPr>
        <w:t>actions</w:t>
      </w:r>
      <w:bookmarkEnd w:id="12"/>
      <w:proofErr w:type="gramEnd"/>
    </w:p>
    <w:p w14:paraId="2AAA8730" w14:textId="5069CA8A" w:rsidR="00131239" w:rsidRPr="00F66A6B" w:rsidRDefault="00131239" w:rsidP="00F66A6B">
      <w:pPr>
        <w:pStyle w:val="MBT"/>
        <w:rPr>
          <w:i/>
          <w:iCs/>
          <w:color w:val="FF0000"/>
          <w:lang w:val="en-US"/>
        </w:rPr>
      </w:pPr>
      <w:r w:rsidRPr="00F66A6B">
        <w:rPr>
          <w:i/>
          <w:iCs/>
          <w:color w:val="FF0000"/>
          <w:lang w:val="en-US"/>
        </w:rPr>
        <w:t>This section examines developments across the Member States, both positive and negative, in two key areas for the rule of law: the anti-corruption framework and media pluralism and whether inter-institutional cooperation and support mechanisms to strengthen the rule of law have been implemented. In your research, please focus on measures taken to address dissenting actions</w:t>
      </w:r>
      <w:r w:rsidR="00083CC5">
        <w:rPr>
          <w:i/>
          <w:iCs/>
          <w:color w:val="FF0000"/>
          <w:lang w:val="en-US"/>
        </w:rPr>
        <w:t>.</w:t>
      </w:r>
      <w:r w:rsidRPr="00F66A6B">
        <w:rPr>
          <w:i/>
          <w:iCs/>
          <w:color w:val="FF0000"/>
          <w:lang w:val="en-US"/>
        </w:rPr>
        <w:t xml:space="preserve"> </w:t>
      </w:r>
    </w:p>
    <w:p w14:paraId="6B110D95" w14:textId="1DCFADC6" w:rsidR="00131239" w:rsidRDefault="00131239" w:rsidP="00F66A6B">
      <w:pPr>
        <w:pStyle w:val="MBT"/>
        <w:rPr>
          <w:i/>
          <w:iCs/>
          <w:color w:val="FF0000"/>
          <w:lang w:val="en-US"/>
        </w:rPr>
      </w:pPr>
      <w:r w:rsidRPr="00F66A6B">
        <w:rPr>
          <w:i/>
          <w:iCs/>
          <w:color w:val="FF0000"/>
          <w:lang w:val="en-US"/>
        </w:rPr>
        <w:t>As a starting point, please read the 2022 Role of Law Report for your Member State.</w:t>
      </w:r>
      <w:r w:rsidRPr="00F66A6B">
        <w:rPr>
          <w:rStyle w:val="FootnoteReference"/>
          <w:i/>
          <w:iCs/>
          <w:color w:val="FF0000"/>
          <w:lang w:val="en-US"/>
        </w:rPr>
        <w:footnoteReference w:id="17"/>
      </w:r>
    </w:p>
    <w:p w14:paraId="434A3BA1" w14:textId="158907A7" w:rsidR="0055474D" w:rsidRPr="00083CC5" w:rsidRDefault="0055474D" w:rsidP="00083CC5">
      <w:pPr>
        <w:widowControl w:val="0"/>
        <w:spacing w:before="120" w:after="120"/>
        <w:jc w:val="both"/>
        <w:rPr>
          <w:rFonts w:ascii="Arial" w:hAnsi="Arial"/>
          <w:bCs/>
          <w:i/>
          <w:iCs/>
          <w:color w:val="FF0000"/>
          <w:sz w:val="22"/>
          <w:szCs w:val="22"/>
          <w:lang w:val="en-US"/>
        </w:rPr>
      </w:pPr>
      <w:r w:rsidRPr="0055474D">
        <w:rPr>
          <w:rFonts w:ascii="Arial" w:hAnsi="Arial"/>
          <w:bCs/>
          <w:i/>
          <w:iCs/>
          <w:color w:val="FF0000"/>
          <w:sz w:val="22"/>
          <w:szCs w:val="22"/>
          <w:lang w:val="en-US"/>
        </w:rPr>
        <w:t>Please note that the Italian Report briefly analyses, among other instruments, the Technical Support Instruments. While it might not be an expected point in the reports, it could bring interesting points for the analysis of the relationship between the rule of law instruments at EU and national level. Should you find TSIs relevant for this section, please only refer to projects related to the rule of law.</w:t>
      </w:r>
    </w:p>
    <w:p w14:paraId="78E08B34" w14:textId="77777777" w:rsidR="00131239" w:rsidRDefault="00131239" w:rsidP="00AD3D7D">
      <w:pPr>
        <w:pStyle w:val="MH2"/>
        <w:rPr>
          <w:lang w:val="en-US"/>
        </w:rPr>
      </w:pPr>
      <w:r w:rsidRPr="00A84EC8">
        <w:rPr>
          <w:lang w:val="en-US"/>
        </w:rPr>
        <w:t>Anti-Corruption</w:t>
      </w:r>
    </w:p>
    <w:p w14:paraId="69D11365" w14:textId="6A27263A" w:rsidR="00120AF2" w:rsidRDefault="00120AF2" w:rsidP="00F66A6B">
      <w:pPr>
        <w:pStyle w:val="MBT"/>
        <w:rPr>
          <w:lang w:val="en-US"/>
        </w:rPr>
      </w:pPr>
      <w:r>
        <w:rPr>
          <w:lang w:val="en-US"/>
        </w:rPr>
        <w:t>T</w:t>
      </w:r>
      <w:r w:rsidRPr="007433AB">
        <w:rPr>
          <w:lang w:val="en-US"/>
        </w:rPr>
        <w:t xml:space="preserve">he 2021 Corruption Perceptions </w:t>
      </w:r>
      <w:hyperlink r:id="rId15" w:history="1">
        <w:r w:rsidRPr="008903C4">
          <w:rPr>
            <w:rStyle w:val="Hyperlink"/>
            <w:rFonts w:cs="Arial"/>
            <w:lang w:val="en-US"/>
          </w:rPr>
          <w:t>Index</w:t>
        </w:r>
      </w:hyperlink>
      <w:r w:rsidRPr="007433AB">
        <w:rPr>
          <w:lang w:val="en-US"/>
        </w:rPr>
        <w:t xml:space="preserve"> ranks </w:t>
      </w:r>
      <w:r>
        <w:rPr>
          <w:lang w:val="en-US"/>
        </w:rPr>
        <w:t xml:space="preserve">Italy </w:t>
      </w:r>
      <w:r w:rsidRPr="007433AB">
        <w:rPr>
          <w:lang w:val="en-US"/>
        </w:rPr>
        <w:t xml:space="preserve">17th in the European Union and 42nd globally. The 2022 </w:t>
      </w:r>
      <w:hyperlink r:id="rId16" w:history="1">
        <w:r w:rsidRPr="008903C4">
          <w:rPr>
            <w:rStyle w:val="Hyperlink"/>
            <w:rFonts w:cs="Arial"/>
            <w:lang w:val="en-US"/>
          </w:rPr>
          <w:t>Eurobarometer on Corruption</w:t>
        </w:r>
      </w:hyperlink>
      <w:r w:rsidRPr="007433AB">
        <w:rPr>
          <w:lang w:val="en-US"/>
        </w:rPr>
        <w:t xml:space="preserve"> shows that 89% of respondents consider corruption widespread in their country and 32% of respondents feel personally affected by corruption in their daily lives</w:t>
      </w:r>
      <w:r>
        <w:rPr>
          <w:rStyle w:val="FootnoteReference"/>
          <w:lang w:val="en-US"/>
        </w:rPr>
        <w:footnoteReference w:id="18"/>
      </w:r>
      <w:r>
        <w:rPr>
          <w:lang w:val="en-US"/>
        </w:rPr>
        <w:t xml:space="preserve">. </w:t>
      </w:r>
    </w:p>
    <w:p w14:paraId="59494CA4" w14:textId="46770632" w:rsidR="00131239" w:rsidRDefault="00120AF2" w:rsidP="00F66A6B">
      <w:pPr>
        <w:pStyle w:val="MBT"/>
      </w:pPr>
      <w:r>
        <w:t>Corruption in Italy has been a strongly perceived problem</w:t>
      </w:r>
      <w:r w:rsidR="00131239">
        <w:t>,</w:t>
      </w:r>
      <w:r>
        <w:t xml:space="preserve"> susceptible to undermine the stability of the State and the rule of law. Yet, over the past </w:t>
      </w:r>
      <w:proofErr w:type="gramStart"/>
      <w:r>
        <w:t>decades</w:t>
      </w:r>
      <w:proofErr w:type="gramEnd"/>
      <w:r>
        <w:t xml:space="preserve"> Italian legislation on corruption and bribery has notably developed and nowadays</w:t>
      </w:r>
      <w:r w:rsidR="00131239">
        <w:t xml:space="preserve"> a</w:t>
      </w:r>
      <w:r w:rsidR="00131239" w:rsidRPr="003022EC">
        <w:t xml:space="preserve"> legal and institutional anti-corruption framework is broadly in place. </w:t>
      </w:r>
      <w:r w:rsidR="00D1601B">
        <w:t>Today, the</w:t>
      </w:r>
      <w:r w:rsidR="00131239" w:rsidRPr="003022EC">
        <w:t xml:space="preserve"> prevention and fight</w:t>
      </w:r>
      <w:r w:rsidR="00131239">
        <w:t xml:space="preserve"> </w:t>
      </w:r>
      <w:r w:rsidR="00131239" w:rsidRPr="003022EC">
        <w:t>against corruption is shared between several authorities</w:t>
      </w:r>
      <w:r w:rsidR="00131239">
        <w:t>, including t</w:t>
      </w:r>
      <w:r w:rsidR="00131239" w:rsidRPr="003022EC">
        <w:t>he National Anticorruption</w:t>
      </w:r>
      <w:r w:rsidR="00131239">
        <w:t xml:space="preserve"> </w:t>
      </w:r>
      <w:r w:rsidR="00131239" w:rsidRPr="003022EC">
        <w:t>Authority (ANAC)</w:t>
      </w:r>
      <w:r w:rsidR="00131239">
        <w:t xml:space="preserve">; the </w:t>
      </w:r>
      <w:r w:rsidR="00131239" w:rsidRPr="003022EC">
        <w:t>Anti-corruption Unit of the Financial police</w:t>
      </w:r>
      <w:r w:rsidR="00131239">
        <w:t xml:space="preserve"> </w:t>
      </w:r>
      <w:r w:rsidR="00131239" w:rsidRPr="003022EC">
        <w:t xml:space="preserve">(Guardia di </w:t>
      </w:r>
      <w:proofErr w:type="spellStart"/>
      <w:r w:rsidR="00131239" w:rsidRPr="003022EC">
        <w:t>Finanza</w:t>
      </w:r>
      <w:proofErr w:type="spellEnd"/>
      <w:r w:rsidR="00131239" w:rsidRPr="003022EC">
        <w:t>)</w:t>
      </w:r>
      <w:r w:rsidR="00131239">
        <w:t>; specialised police and prosecution services and the Financial Intelligent Unit within the Bank of Italy.</w:t>
      </w:r>
    </w:p>
    <w:p w14:paraId="6C0E0811" w14:textId="2268914A" w:rsidR="00131239" w:rsidRDefault="00131239" w:rsidP="00F66A6B">
      <w:pPr>
        <w:pStyle w:val="MBT"/>
      </w:pPr>
      <w:r>
        <w:t xml:space="preserve">Established in 2012, ANAC is </w:t>
      </w:r>
      <w:r w:rsidRPr="003022EC">
        <w:t xml:space="preserve">the </w:t>
      </w:r>
      <w:r>
        <w:t xml:space="preserve">independent </w:t>
      </w:r>
      <w:r w:rsidRPr="003022EC">
        <w:t>authority in charge with the prevention of corruption within</w:t>
      </w:r>
      <w:r>
        <w:t xml:space="preserve"> </w:t>
      </w:r>
      <w:r w:rsidRPr="003022EC">
        <w:t>the public administration</w:t>
      </w:r>
      <w:r>
        <w:t xml:space="preserve"> in cooperation with the district anti-mafia directorate composed of prosecutors specialised in countering infiltration of organised crime within public administration. Over the past years, t</w:t>
      </w:r>
      <w:r w:rsidRPr="001042B5">
        <w:t>he powers and capacity of the National Anti-corruption Authority have been</w:t>
      </w:r>
      <w:r>
        <w:t xml:space="preserve"> </w:t>
      </w:r>
      <w:r w:rsidRPr="001042B5">
        <w:t>strengthened as regards its preventive role to fight corruption.</w:t>
      </w:r>
      <w:r>
        <w:rPr>
          <w:rStyle w:val="FootnoteReference"/>
        </w:rPr>
        <w:footnoteReference w:id="19"/>
      </w:r>
    </w:p>
    <w:p w14:paraId="209A842C" w14:textId="1DD99819" w:rsidR="00D1601B" w:rsidRPr="001042B5" w:rsidRDefault="00D1601B" w:rsidP="00F66A6B">
      <w:pPr>
        <w:pStyle w:val="MBT"/>
      </w:pPr>
      <w:r>
        <w:t>I</w:t>
      </w:r>
      <w:r w:rsidRPr="00D1601B">
        <w:t>n 2019, Italian lawmakers implement</w:t>
      </w:r>
      <w:r>
        <w:t>ed</w:t>
      </w:r>
      <w:r w:rsidRPr="00D1601B">
        <w:t xml:space="preserve"> Law 3/2019 </w:t>
      </w:r>
      <w:r>
        <w:t>(</w:t>
      </w:r>
      <w:r w:rsidRPr="00D1601B">
        <w:t>known as </w:t>
      </w:r>
      <w:r w:rsidRPr="00D1601B">
        <w:rPr>
          <w:i/>
          <w:iCs/>
        </w:rPr>
        <w:t>‘</w:t>
      </w:r>
      <w:proofErr w:type="spellStart"/>
      <w:r w:rsidRPr="00D1601B">
        <w:rPr>
          <w:i/>
          <w:iCs/>
        </w:rPr>
        <w:t>Legge</w:t>
      </w:r>
      <w:proofErr w:type="spellEnd"/>
      <w:r w:rsidRPr="00D1601B">
        <w:rPr>
          <w:i/>
          <w:iCs/>
        </w:rPr>
        <w:t xml:space="preserve"> </w:t>
      </w:r>
      <w:proofErr w:type="spellStart"/>
      <w:r w:rsidRPr="00D1601B">
        <w:rPr>
          <w:i/>
          <w:iCs/>
        </w:rPr>
        <w:t>Spazza</w:t>
      </w:r>
      <w:proofErr w:type="spellEnd"/>
      <w:r w:rsidRPr="00D1601B">
        <w:rPr>
          <w:i/>
          <w:iCs/>
        </w:rPr>
        <w:t xml:space="preserve"> </w:t>
      </w:r>
      <w:proofErr w:type="spellStart"/>
      <w:r w:rsidRPr="00D1601B">
        <w:rPr>
          <w:i/>
          <w:iCs/>
        </w:rPr>
        <w:t>Corrotti</w:t>
      </w:r>
      <w:proofErr w:type="spellEnd"/>
      <w:r w:rsidRPr="00D1601B">
        <w:rPr>
          <w:i/>
          <w:iCs/>
        </w:rPr>
        <w:t>’ </w:t>
      </w:r>
      <w:r>
        <w:t xml:space="preserve"> or </w:t>
      </w:r>
      <w:r w:rsidRPr="00D1601B">
        <w:t>‘Sweep-the-Corrupt’ law)</w:t>
      </w:r>
      <w:r>
        <w:t xml:space="preserve">, a law </w:t>
      </w:r>
      <w:r w:rsidRPr="00D1601B">
        <w:t>specifically designed to counter corruption through harsh penitentiary treatment</w:t>
      </w:r>
      <w:r>
        <w:t>.</w:t>
      </w:r>
    </w:p>
    <w:p w14:paraId="66AF7EDA" w14:textId="3FA584AB" w:rsidR="00131239" w:rsidRDefault="00131239" w:rsidP="00120AF2">
      <w:pPr>
        <w:pStyle w:val="MBT"/>
        <w:rPr>
          <w:lang w:val="en-US"/>
        </w:rPr>
      </w:pPr>
      <w:r>
        <w:t>As latest development to fight corruption within the judiciary, on</w:t>
      </w:r>
      <w:r w:rsidRPr="00197A91">
        <w:t xml:space="preserve"> 7 August 2020 the Government proposed a draft law reforming the </w:t>
      </w:r>
      <w:r>
        <w:t>CSM</w:t>
      </w:r>
      <w:r w:rsidRPr="00197A91">
        <w:t>.</w:t>
      </w:r>
      <w:r>
        <w:t xml:space="preserve"> The proposed draft law</w:t>
      </w:r>
      <w:r w:rsidRPr="00197A91">
        <w:t xml:space="preserve"> includes an increase in the number of the Council’s </w:t>
      </w:r>
      <w:r>
        <w:t>members</w:t>
      </w:r>
      <w:r w:rsidRPr="00197A91">
        <w:t xml:space="preserve"> a</w:t>
      </w:r>
      <w:r>
        <w:t>nd a</w:t>
      </w:r>
      <w:r w:rsidRPr="00197A91">
        <w:t xml:space="preserve"> new disciplinary panel. Moreover, </w:t>
      </w:r>
      <w:r>
        <w:t xml:space="preserve">it adopts </w:t>
      </w:r>
      <w:r w:rsidRPr="00197A91">
        <w:t xml:space="preserve">new rules to increase transparency in the appointment of high-level judges and prosecutors </w:t>
      </w:r>
      <w:r>
        <w:t>and</w:t>
      </w:r>
      <w:r w:rsidRPr="00197A91">
        <w:t xml:space="preserve"> tightening the requirements for magistrates to engage in political activity</w:t>
      </w:r>
      <w:r>
        <w:t xml:space="preserve">. It is to be noted, however, that </w:t>
      </w:r>
      <w:r w:rsidRPr="00197A91">
        <w:t xml:space="preserve"> </w:t>
      </w:r>
      <w:r w:rsidRPr="001042B5">
        <w:rPr>
          <w:lang w:val="en-US"/>
        </w:rPr>
        <w:t>stakeholders have raised concerns that some provisions of the draft law on the reform of the CSM and the justice system could result in an undue influence on judges.</w:t>
      </w:r>
      <w:r>
        <w:rPr>
          <w:lang w:val="en-US"/>
        </w:rPr>
        <w:t xml:space="preserve"> To that extent, the in its latest Rule of Law Report on the situation in Italy, the Commission has recalled that the new draft should not compromise efficiency over judicial independence</w:t>
      </w:r>
      <w:r>
        <w:rPr>
          <w:rStyle w:val="FootnoteReference"/>
          <w:lang w:val="en-US"/>
        </w:rPr>
        <w:footnoteReference w:id="20"/>
      </w:r>
      <w:r>
        <w:rPr>
          <w:lang w:val="en-US"/>
        </w:rPr>
        <w:t>.</w:t>
      </w:r>
      <w:r w:rsidR="00120AF2">
        <w:rPr>
          <w:lang w:val="en-US"/>
        </w:rPr>
        <w:t xml:space="preserve"> </w:t>
      </w:r>
    </w:p>
    <w:p w14:paraId="75A25F1D" w14:textId="77777777" w:rsidR="00131239" w:rsidRDefault="00131239" w:rsidP="00AD3D7D">
      <w:pPr>
        <w:pStyle w:val="MH2"/>
        <w:rPr>
          <w:lang w:val="en-US"/>
        </w:rPr>
      </w:pPr>
      <w:r w:rsidRPr="00A84EC8">
        <w:rPr>
          <w:lang w:val="en-US"/>
        </w:rPr>
        <w:lastRenderedPageBreak/>
        <w:t>Media Pluralism</w:t>
      </w:r>
    </w:p>
    <w:p w14:paraId="304A0AB6" w14:textId="76AEE800" w:rsidR="00D1601B" w:rsidRDefault="00131239" w:rsidP="00D1601B">
      <w:pPr>
        <w:pStyle w:val="MBT"/>
      </w:pPr>
      <w:r>
        <w:t xml:space="preserve">In Italy, press freedom </w:t>
      </w:r>
      <w:r w:rsidRPr="0062746C">
        <w:t xml:space="preserve"> </w:t>
      </w:r>
      <w:r>
        <w:t xml:space="preserve">is </w:t>
      </w:r>
      <w:r w:rsidRPr="0062746C">
        <w:t>enshrined in the Italian Constitution</w:t>
      </w:r>
      <w:r>
        <w:t xml:space="preserve"> (Article 21)</w:t>
      </w:r>
      <w:r w:rsidRPr="0062746C">
        <w:t xml:space="preserve">. </w:t>
      </w:r>
      <w:r>
        <w:t xml:space="preserve"> </w:t>
      </w:r>
      <w:r w:rsidRPr="00DA0115">
        <w:t xml:space="preserve">Law n. 47 of 8 February </w:t>
      </w:r>
      <w:r w:rsidRPr="0062746C">
        <w:t>regulates the written press while the Italian Audio-visual Media Law</w:t>
      </w:r>
      <w:r>
        <w:t xml:space="preserve"> </w:t>
      </w:r>
      <w:r w:rsidRPr="0062746C">
        <w:t>regulates audio-visual communications</w:t>
      </w:r>
      <w:r>
        <w:t xml:space="preserve">. </w:t>
      </w:r>
      <w:r w:rsidRPr="0062746C">
        <w:t xml:space="preserve"> </w:t>
      </w:r>
      <w:r>
        <w:t>The</w:t>
      </w:r>
      <w:r w:rsidRPr="0062746C">
        <w:t xml:space="preserve"> Authority for Guaranteeing Communications (AGCOM) </w:t>
      </w:r>
      <w:r>
        <w:t xml:space="preserve">is the independent monitoring body of the </w:t>
      </w:r>
      <w:r w:rsidRPr="0062746C">
        <w:t>Italian public service media</w:t>
      </w:r>
      <w:r>
        <w:t xml:space="preserve"> while a</w:t>
      </w:r>
      <w:r w:rsidRPr="0062746C">
        <w:t xml:space="preserve"> specialised Coordination Centre monitors acts of intimidation against journalists</w:t>
      </w:r>
      <w:r>
        <w:t>.</w:t>
      </w:r>
    </w:p>
    <w:p w14:paraId="2F074535" w14:textId="60AD1005" w:rsidR="00D1601B" w:rsidRDefault="0005636C" w:rsidP="00D1601B">
      <w:pPr>
        <w:pStyle w:val="MBT"/>
      </w:pPr>
      <w:r>
        <w:t>To address some of the issues</w:t>
      </w:r>
      <w:r w:rsidR="003275F6">
        <w:t xml:space="preserve"> raised above (see section 2.3)</w:t>
      </w:r>
      <w:r>
        <w:t>, Italy has recently adopted the Legislative Decree no 208/2021</w:t>
      </w:r>
      <w:r w:rsidR="003275F6">
        <w:t xml:space="preserve"> (amending the Italian Press Law)</w:t>
      </w:r>
      <w:r>
        <w:t xml:space="preserve"> transposing </w:t>
      </w:r>
      <w:r w:rsidR="003275F6">
        <w:t>t</w:t>
      </w:r>
      <w:r>
        <w:t>he AVMS Directive (EU) 2018/1808 and enhancing the independence of the audio-visual media service while strengthening the monitoring powers of AGCOM. Furthermore,</w:t>
      </w:r>
      <w:r w:rsidRPr="0005636C">
        <w:t xml:space="preserve"> </w:t>
      </w:r>
      <w:r>
        <w:t>Legislative Decree no 208/2021 redefined the precise services which public service media shall guarantee and the procedures through which the concession of public radio, television and multimedia service is granted.</w:t>
      </w:r>
    </w:p>
    <w:p w14:paraId="6EC15720" w14:textId="6F38585E" w:rsidR="0005636C" w:rsidRDefault="0005636C" w:rsidP="00D1601B">
      <w:pPr>
        <w:pStyle w:val="MBT"/>
      </w:pPr>
      <w:r>
        <w:t xml:space="preserve">Nevertheless, the 2022 Rule of Law Report on media pluralism highlighted a further increase of attacks against journalists </w:t>
      </w:r>
      <w:r w:rsidR="003275F6">
        <w:t>particularly during COVID-19 while there have been no amendments to the existing Press Law to address the problem of SLAPs.</w:t>
      </w:r>
    </w:p>
    <w:p w14:paraId="7C3BFCF7" w14:textId="6FC2A31A" w:rsidR="003275F6" w:rsidRDefault="003275F6" w:rsidP="00D1601B">
      <w:pPr>
        <w:pStyle w:val="MBT"/>
      </w:pPr>
      <w:r>
        <w:t xml:space="preserve">To that extent, while action have been taken to address dissenting action susceptible to undermine the freedom of press and the right to information, in Italy media pluralism </w:t>
      </w:r>
      <w:proofErr w:type="gramStart"/>
      <w:r>
        <w:t>still remain</w:t>
      </w:r>
      <w:proofErr w:type="gramEnd"/>
      <w:r>
        <w:t xml:space="preserve"> an issue.</w:t>
      </w:r>
    </w:p>
    <w:p w14:paraId="4AA8F5F2" w14:textId="77777777" w:rsidR="00D1601B" w:rsidRDefault="00D1601B" w:rsidP="00D1601B">
      <w:pPr>
        <w:pStyle w:val="MBT"/>
        <w:rPr>
          <w:lang w:val="en-US"/>
        </w:rPr>
      </w:pPr>
    </w:p>
    <w:p w14:paraId="1797D477" w14:textId="37E4B499" w:rsidR="00131239" w:rsidRDefault="00131239" w:rsidP="00AD3D7D">
      <w:pPr>
        <w:pStyle w:val="MH2"/>
        <w:rPr>
          <w:lang w:val="en-US"/>
        </w:rPr>
      </w:pPr>
      <w:r w:rsidRPr="00A84EC8">
        <w:rPr>
          <w:lang w:val="en-US"/>
        </w:rPr>
        <w:t>Technical Support Instrument</w:t>
      </w:r>
      <w:r w:rsidR="003B7B54">
        <w:rPr>
          <w:lang w:val="en-US"/>
        </w:rPr>
        <w:t>s</w:t>
      </w:r>
      <w:r>
        <w:rPr>
          <w:lang w:val="en-US"/>
        </w:rPr>
        <w:t xml:space="preserve"> (TSI)</w:t>
      </w:r>
    </w:p>
    <w:p w14:paraId="36BE8C42" w14:textId="54918B87" w:rsidR="00131239" w:rsidRPr="003275F6" w:rsidRDefault="00131239" w:rsidP="00F66A6B">
      <w:pPr>
        <w:pStyle w:val="MBT"/>
        <w:rPr>
          <w:lang w:val="en-US"/>
        </w:rPr>
      </w:pPr>
      <w:r w:rsidRPr="003275F6">
        <w:rPr>
          <w:lang w:val="en-US"/>
        </w:rPr>
        <w:t xml:space="preserve">In order to help national authorities in improving their capacity to design, develop and implement reforms, including those covered by recovery and resilience plans, the European Parliament and the Council adopted on 10 February 2021 a regulation establishing a </w:t>
      </w:r>
      <w:hyperlink r:id="rId17" w:history="1">
        <w:r w:rsidRPr="003275F6">
          <w:rPr>
            <w:rStyle w:val="Hyperlink"/>
            <w:rFonts w:ascii="Times New Roman" w:hAnsi="Times New Roman"/>
            <w:color w:val="auto"/>
            <w:lang w:val="en-US"/>
          </w:rPr>
          <w:t>Technical Support Instrument</w:t>
        </w:r>
      </w:hyperlink>
      <w:r w:rsidRPr="003275F6">
        <w:rPr>
          <w:lang w:val="en-US"/>
        </w:rPr>
        <w:t xml:space="preserve">. The Instrument may finance a broad range of technical assistance actions referring to policy areas related to cohesion, </w:t>
      </w:r>
      <w:proofErr w:type="gramStart"/>
      <w:r w:rsidRPr="003275F6">
        <w:rPr>
          <w:lang w:val="en-US"/>
        </w:rPr>
        <w:t>competitiveness</w:t>
      </w:r>
      <w:proofErr w:type="gramEnd"/>
      <w:r w:rsidRPr="003275F6">
        <w:rPr>
          <w:lang w:val="en-US"/>
        </w:rPr>
        <w:t xml:space="preserve"> and others, with specific emphasis on digital and just green transitions</w:t>
      </w:r>
      <w:r w:rsidR="003275F6">
        <w:rPr>
          <w:rStyle w:val="FootnoteReference"/>
          <w:lang w:val="en-US"/>
        </w:rPr>
        <w:footnoteReference w:id="21"/>
      </w:r>
      <w:r w:rsidR="003275F6">
        <w:rPr>
          <w:lang w:val="en-US"/>
        </w:rPr>
        <w:t>.</w:t>
      </w:r>
      <w:r w:rsidRPr="003275F6">
        <w:rPr>
          <w:lang w:val="en-US"/>
        </w:rPr>
        <w:t xml:space="preserve"> </w:t>
      </w:r>
      <w:r w:rsidR="003275F6">
        <w:rPr>
          <w:lang w:val="en-US"/>
        </w:rPr>
        <w:t xml:space="preserve"> </w:t>
      </w:r>
      <w:r w:rsidRPr="003275F6">
        <w:rPr>
          <w:lang w:val="en-US"/>
        </w:rPr>
        <w:t xml:space="preserve"> </w:t>
      </w:r>
    </w:p>
    <w:p w14:paraId="6DB72CA4" w14:textId="77777777" w:rsidR="00131239" w:rsidRPr="00C35175" w:rsidRDefault="00131239" w:rsidP="00F66A6B">
      <w:pPr>
        <w:pStyle w:val="MBT"/>
        <w:rPr>
          <w:lang w:val="en-US"/>
        </w:rPr>
      </w:pPr>
      <w:r w:rsidRPr="00C35175">
        <w:rPr>
          <w:lang w:val="en-US"/>
        </w:rPr>
        <w:t>Italy has so far benefited from 60 projects financed by the TSI</w:t>
      </w:r>
      <w:r>
        <w:rPr>
          <w:lang w:val="en-US"/>
        </w:rPr>
        <w:t xml:space="preserve">, through which it </w:t>
      </w:r>
      <w:r w:rsidRPr="00C35175">
        <w:rPr>
          <w:lang w:val="en-US"/>
        </w:rPr>
        <w:t xml:space="preserve">addressed a broad range of policy areas, including fiscal reform, infrastructure planning, green transition, </w:t>
      </w:r>
      <w:proofErr w:type="spellStart"/>
      <w:r w:rsidRPr="00C35175">
        <w:rPr>
          <w:lang w:val="en-US"/>
        </w:rPr>
        <w:t>labour</w:t>
      </w:r>
      <w:proofErr w:type="spellEnd"/>
      <w:r w:rsidRPr="00C35175">
        <w:rPr>
          <w:lang w:val="en-US"/>
        </w:rPr>
        <w:t xml:space="preserve"> market reform, public administration reform and the national digital strategy.</w:t>
      </w:r>
      <w:r>
        <w:rPr>
          <w:lang w:val="en-US"/>
        </w:rPr>
        <w:t xml:space="preserve"> </w:t>
      </w:r>
    </w:p>
    <w:p w14:paraId="60BF52DF" w14:textId="3C2CCAE3" w:rsidR="00131239" w:rsidRPr="00F66A6B" w:rsidRDefault="005B59C0" w:rsidP="00F66A6B">
      <w:pPr>
        <w:pStyle w:val="MBT"/>
      </w:pPr>
      <w:r>
        <w:rPr>
          <w:lang w:val="en-US"/>
        </w:rPr>
        <w:t>In Italy, projects</w:t>
      </w:r>
      <w:r w:rsidR="00131239">
        <w:rPr>
          <w:lang w:val="en-US"/>
        </w:rPr>
        <w:t xml:space="preserve"> financed by the TSI had a particular focus on </w:t>
      </w:r>
      <w:r w:rsidR="00131239" w:rsidRPr="00C35175">
        <w:rPr>
          <w:lang w:val="en-US"/>
        </w:rPr>
        <w:t>the public administration</w:t>
      </w:r>
      <w:r w:rsidR="00131239">
        <w:rPr>
          <w:lang w:val="en-US"/>
        </w:rPr>
        <w:t xml:space="preserve"> </w:t>
      </w:r>
      <w:r w:rsidR="00131239" w:rsidRPr="00C35175">
        <w:rPr>
          <w:lang w:val="en-US"/>
        </w:rPr>
        <w:t xml:space="preserve">reform and anti-corruption measures. </w:t>
      </w:r>
      <w:r w:rsidR="00131239">
        <w:t xml:space="preserve">As it regards the public administration sector, Italy is collaborating with the European Commission to </w:t>
      </w:r>
      <w:r w:rsidR="00131239" w:rsidRPr="007A7CB4">
        <w:t>improving the exchange of information between different levels and departments of the public administration</w:t>
      </w:r>
      <w:r>
        <w:t xml:space="preserve"> to enhance the administrative capacity to implement reforms necessary to strengthen the rule of law within the national system</w:t>
      </w:r>
      <w:r w:rsidR="00131239">
        <w:t xml:space="preserve">.   Furthermore, </w:t>
      </w:r>
      <w:r w:rsidR="00131239">
        <w:rPr>
          <w:lang w:val="en-US"/>
        </w:rPr>
        <w:t>w</w:t>
      </w:r>
      <w:r w:rsidR="00131239" w:rsidRPr="00C35175">
        <w:rPr>
          <w:lang w:val="en-US"/>
        </w:rPr>
        <w:t>ith the second round of the TSI, the Commission will support Italy with 16 projects in the areas of</w:t>
      </w:r>
      <w:r w:rsidR="00131239">
        <w:rPr>
          <w:lang w:val="en-US"/>
        </w:rPr>
        <w:t>, inter alia,</w:t>
      </w:r>
      <w:r w:rsidR="00131239" w:rsidRPr="00C35175">
        <w:rPr>
          <w:lang w:val="en-US"/>
        </w:rPr>
        <w:t xml:space="preserve"> </w:t>
      </w:r>
      <w:r w:rsidR="00131239">
        <w:rPr>
          <w:lang w:val="en-US"/>
        </w:rPr>
        <w:t>d</w:t>
      </w:r>
      <w:r w:rsidR="00131239" w:rsidRPr="00C35175">
        <w:rPr>
          <w:lang w:val="en-US"/>
        </w:rPr>
        <w:t>igital public administration, health, gender mainstreaming</w:t>
      </w:r>
      <w:r w:rsidR="00131239">
        <w:rPr>
          <w:lang w:val="en-US"/>
        </w:rPr>
        <w:t xml:space="preserve"> and</w:t>
      </w:r>
      <w:r w:rsidR="00131239" w:rsidRPr="00C35175">
        <w:rPr>
          <w:lang w:val="en-US"/>
        </w:rPr>
        <w:t xml:space="preserve"> inequalities, migrant integration, </w:t>
      </w:r>
      <w:r w:rsidR="00131239">
        <w:rPr>
          <w:lang w:val="en-US"/>
        </w:rPr>
        <w:t xml:space="preserve"> and</w:t>
      </w:r>
      <w:r w:rsidR="00131239" w:rsidRPr="00C35175">
        <w:rPr>
          <w:lang w:val="en-US"/>
        </w:rPr>
        <w:t xml:space="preserve"> public finance</w:t>
      </w:r>
      <w:r w:rsidR="00131239">
        <w:rPr>
          <w:lang w:val="en-US"/>
        </w:rPr>
        <w:t>.</w:t>
      </w:r>
    </w:p>
    <w:p w14:paraId="26DB28C7" w14:textId="77777777" w:rsidR="00131239" w:rsidRPr="00A84EC8" w:rsidRDefault="00131239" w:rsidP="00AD3D7D">
      <w:pPr>
        <w:pStyle w:val="MH1"/>
        <w:rPr>
          <w:lang w:val="en-US"/>
        </w:rPr>
      </w:pPr>
      <w:bookmarkStart w:id="13" w:name="_Toc131597980"/>
      <w:r w:rsidRPr="00A84EC8">
        <w:rPr>
          <w:lang w:val="en-US"/>
        </w:rPr>
        <w:lastRenderedPageBreak/>
        <w:t>Conclusion and New Challenges</w:t>
      </w:r>
      <w:bookmarkEnd w:id="13"/>
    </w:p>
    <w:p w14:paraId="0D335A42" w14:textId="3F080F1F" w:rsidR="00345246" w:rsidRDefault="00345246" w:rsidP="00345246">
      <w:pPr>
        <w:pStyle w:val="MBT"/>
        <w:rPr>
          <w:lang w:eastAsia="en-GB"/>
        </w:rPr>
      </w:pPr>
    </w:p>
    <w:p w14:paraId="72475968" w14:textId="3797B104" w:rsidR="00337E8C" w:rsidRDefault="00337E8C" w:rsidP="00337E8C">
      <w:pPr>
        <w:pStyle w:val="MBT"/>
      </w:pPr>
      <w:r w:rsidRPr="00F35C05">
        <w:t xml:space="preserve">Over the past two decades, Italy has experienced an increase in populist political movements of right or extreme right faction which have attempted, to different extent, to interfere with the </w:t>
      </w:r>
      <w:r>
        <w:t xml:space="preserve">rule of law </w:t>
      </w:r>
      <w:r w:rsidRPr="00F35C05">
        <w:t>asset of the Italian system.</w:t>
      </w:r>
      <w:r>
        <w:t xml:space="preserve"> Lega Nord and Fratelli </w:t>
      </w:r>
      <w:proofErr w:type="spellStart"/>
      <w:r>
        <w:t>d’Italia</w:t>
      </w:r>
      <w:proofErr w:type="spellEnd"/>
      <w:r>
        <w:t>, in particular, have attempted to increase Euroscepticism among the population, to pass laws infringing upon asylum rights and to increase control over public administration.</w:t>
      </w:r>
    </w:p>
    <w:p w14:paraId="6382EB57" w14:textId="1BF95D54" w:rsidR="00337E8C" w:rsidRDefault="00337E8C" w:rsidP="00337E8C">
      <w:pPr>
        <w:pStyle w:val="MBT"/>
      </w:pPr>
      <w:r w:rsidRPr="00F35C05">
        <w:t xml:space="preserve"> </w:t>
      </w:r>
      <w:r>
        <w:t xml:space="preserve">While </w:t>
      </w:r>
      <w:r w:rsidR="00083CC5">
        <w:t>it early</w:t>
      </w:r>
      <w:r>
        <w:t xml:space="preserve"> to assess the true impact of the recent election of </w:t>
      </w:r>
      <w:proofErr w:type="spellStart"/>
      <w:r>
        <w:t>Meloni</w:t>
      </w:r>
      <w:proofErr w:type="spellEnd"/>
      <w:r>
        <w:t xml:space="preserve"> as Prime Minister, </w:t>
      </w:r>
      <w:r w:rsidRPr="00F35C05">
        <w:t xml:space="preserve"> to date Italy has </w:t>
      </w:r>
      <w:r>
        <w:t>rule of law</w:t>
      </w:r>
      <w:r w:rsidRPr="00F35C05">
        <w:t xml:space="preserve"> backsliding primarily thanks to the</w:t>
      </w:r>
      <w:r>
        <w:t xml:space="preserve"> work of the judiciary and the</w:t>
      </w:r>
      <w:r w:rsidRPr="00F35C05">
        <w:t xml:space="preserve"> guarantees foresaw in the Italian Constitution.</w:t>
      </w:r>
    </w:p>
    <w:p w14:paraId="0958E696" w14:textId="316397EA" w:rsidR="00337E8C" w:rsidRDefault="00337E8C" w:rsidP="00337E8C">
      <w:pPr>
        <w:pStyle w:val="MBT"/>
      </w:pPr>
      <w:r>
        <w:t>Furthermore, Italy has recently passed legislation to strengthen the fight against corruption and increase the governance of public administration.</w:t>
      </w:r>
    </w:p>
    <w:p w14:paraId="54C7B3F0" w14:textId="0D219668" w:rsidR="00337E8C" w:rsidRPr="00F35C05" w:rsidRDefault="00337E8C" w:rsidP="00337E8C">
      <w:pPr>
        <w:pStyle w:val="MBT"/>
      </w:pPr>
      <w:r>
        <w:t>Nevertheless, recent trends show that freedom of press and media pluralism still remain a major issue in Italy.</w:t>
      </w:r>
    </w:p>
    <w:p w14:paraId="3338E836" w14:textId="77777777" w:rsidR="00337E8C" w:rsidRPr="00425CF2" w:rsidRDefault="00337E8C" w:rsidP="00345246">
      <w:pPr>
        <w:pStyle w:val="MBT"/>
        <w:rPr>
          <w:lang w:eastAsia="en-GB"/>
        </w:rPr>
      </w:pPr>
    </w:p>
    <w:sectPr w:rsidR="00337E8C" w:rsidRPr="00425CF2" w:rsidSect="008958DE">
      <w:headerReference w:type="default" r:id="rId18"/>
      <w:footerReference w:type="default" r:id="rId19"/>
      <w:pgSz w:w="11906" w:h="16838" w:code="9"/>
      <w:pgMar w:top="1418" w:right="851"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A52DD" w14:textId="77777777" w:rsidR="00A741C5" w:rsidRDefault="00A741C5">
      <w:r>
        <w:separator/>
      </w:r>
    </w:p>
    <w:p w14:paraId="0BE99D43" w14:textId="77777777" w:rsidR="00A741C5" w:rsidRDefault="00A741C5"/>
    <w:p w14:paraId="1C42D6ED" w14:textId="77777777" w:rsidR="00A741C5" w:rsidRDefault="00A741C5"/>
  </w:endnote>
  <w:endnote w:type="continuationSeparator" w:id="0">
    <w:p w14:paraId="5B1CE276" w14:textId="77777777" w:rsidR="00A741C5" w:rsidRDefault="00A741C5">
      <w:r>
        <w:continuationSeparator/>
      </w:r>
    </w:p>
    <w:p w14:paraId="7E28C146" w14:textId="77777777" w:rsidR="00A741C5" w:rsidRDefault="00A741C5"/>
    <w:p w14:paraId="7C8B96A8" w14:textId="77777777" w:rsidR="00A741C5" w:rsidRDefault="00A74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1E0" w:firstRow="1" w:lastRow="1" w:firstColumn="1" w:lastColumn="1" w:noHBand="0" w:noVBand="0"/>
    </w:tblPr>
    <w:tblGrid>
      <w:gridCol w:w="2093"/>
      <w:gridCol w:w="7073"/>
    </w:tblGrid>
    <w:tr w:rsidR="00C41866" w:rsidRPr="0065593C" w14:paraId="24690FE7" w14:textId="77777777" w:rsidTr="009F60BC">
      <w:tc>
        <w:tcPr>
          <w:tcW w:w="2093" w:type="dxa"/>
        </w:tcPr>
        <w:p w14:paraId="05EF168C" w14:textId="77777777" w:rsidR="00C41866" w:rsidRPr="007E257E" w:rsidRDefault="00C41866" w:rsidP="00A6698C">
          <w:pPr>
            <w:pStyle w:val="Header"/>
            <w:ind w:right="360"/>
            <w:rPr>
              <w:i/>
              <w:sz w:val="18"/>
              <w:szCs w:val="18"/>
            </w:rPr>
          </w:pPr>
          <w:r w:rsidRPr="007E257E">
            <w:rPr>
              <w:i/>
              <w:sz w:val="18"/>
              <w:szCs w:val="18"/>
            </w:rPr>
            <w:t xml:space="preserve">Milieu Ltd </w:t>
          </w:r>
        </w:p>
        <w:p w14:paraId="4040B387" w14:textId="77777777" w:rsidR="00C41866" w:rsidRPr="007E257E" w:rsidRDefault="00C41866" w:rsidP="00A6698C">
          <w:pPr>
            <w:pStyle w:val="Header"/>
            <w:ind w:right="360"/>
            <w:rPr>
              <w:i/>
              <w:sz w:val="18"/>
              <w:szCs w:val="18"/>
            </w:rPr>
          </w:pPr>
          <w:r w:rsidRPr="007E257E">
            <w:rPr>
              <w:i/>
              <w:sz w:val="18"/>
              <w:szCs w:val="18"/>
            </w:rPr>
            <w:t xml:space="preserve">Brussels </w:t>
          </w:r>
        </w:p>
      </w:tc>
      <w:tc>
        <w:tcPr>
          <w:tcW w:w="7073" w:type="dxa"/>
        </w:tcPr>
        <w:p w14:paraId="0D342481" w14:textId="77777777" w:rsidR="00C41866" w:rsidRPr="000C74BF" w:rsidRDefault="00C41866" w:rsidP="00A6698C">
          <w:pPr>
            <w:pStyle w:val="Header"/>
            <w:ind w:right="360"/>
            <w:jc w:val="right"/>
            <w:rPr>
              <w:i/>
              <w:sz w:val="18"/>
              <w:szCs w:val="18"/>
            </w:rPr>
          </w:pPr>
          <w:r w:rsidRPr="000C74BF">
            <w:rPr>
              <w:i/>
              <w:sz w:val="18"/>
              <w:szCs w:val="18"/>
            </w:rPr>
            <w:t xml:space="preserve">Conformity Study Directive </w:t>
          </w:r>
          <w:r>
            <w:rPr>
              <w:i/>
              <w:sz w:val="18"/>
              <w:szCs w:val="18"/>
            </w:rPr>
            <w:t xml:space="preserve">2003/87/EC as amended by Directives </w:t>
          </w:r>
          <w:r w:rsidRPr="000C74BF">
            <w:rPr>
              <w:i/>
              <w:sz w:val="18"/>
              <w:szCs w:val="18"/>
            </w:rPr>
            <w:t>2008/101/EC</w:t>
          </w:r>
          <w:r>
            <w:rPr>
              <w:i/>
              <w:sz w:val="18"/>
              <w:szCs w:val="18"/>
            </w:rPr>
            <w:t xml:space="preserve"> and 2009/29/EC</w:t>
          </w:r>
          <w:r w:rsidRPr="000C74BF">
            <w:rPr>
              <w:i/>
              <w:sz w:val="18"/>
              <w:szCs w:val="18"/>
            </w:rPr>
            <w:t xml:space="preserve"> for </w:t>
          </w:r>
          <w:r w:rsidRPr="000C74BF">
            <w:rPr>
              <w:i/>
              <w:sz w:val="18"/>
              <w:szCs w:val="18"/>
              <w:highlight w:val="yellow"/>
            </w:rPr>
            <w:t>(Country), Month Year</w:t>
          </w:r>
          <w:r w:rsidRPr="000C74BF">
            <w:rPr>
              <w:i/>
              <w:sz w:val="18"/>
              <w:szCs w:val="18"/>
            </w:rPr>
            <w:t xml:space="preserve"> / </w:t>
          </w:r>
          <w:r w:rsidRPr="000C74BF">
            <w:rPr>
              <w:rStyle w:val="PageNumber"/>
              <w:sz w:val="18"/>
              <w:szCs w:val="18"/>
            </w:rPr>
            <w:fldChar w:fldCharType="begin"/>
          </w:r>
          <w:r w:rsidRPr="000C74BF">
            <w:rPr>
              <w:rStyle w:val="PageNumber"/>
              <w:sz w:val="18"/>
              <w:szCs w:val="18"/>
            </w:rPr>
            <w:instrText xml:space="preserve"> PAGE </w:instrText>
          </w:r>
          <w:r w:rsidRPr="000C74BF">
            <w:rPr>
              <w:rStyle w:val="PageNumber"/>
              <w:sz w:val="18"/>
              <w:szCs w:val="18"/>
            </w:rPr>
            <w:fldChar w:fldCharType="separate"/>
          </w:r>
          <w:r>
            <w:rPr>
              <w:rStyle w:val="PageNumber"/>
              <w:noProof/>
              <w:sz w:val="18"/>
              <w:szCs w:val="18"/>
            </w:rPr>
            <w:t>9</w:t>
          </w:r>
          <w:r w:rsidRPr="000C74BF">
            <w:rPr>
              <w:rStyle w:val="PageNumber"/>
              <w:sz w:val="18"/>
              <w:szCs w:val="18"/>
            </w:rPr>
            <w:fldChar w:fldCharType="end"/>
          </w:r>
        </w:p>
      </w:tc>
    </w:tr>
    <w:tr w:rsidR="00C41866" w:rsidRPr="0065593C" w14:paraId="7697BFB6" w14:textId="77777777" w:rsidTr="009F60BC">
      <w:tc>
        <w:tcPr>
          <w:tcW w:w="2093" w:type="dxa"/>
        </w:tcPr>
        <w:p w14:paraId="6D93DCBE" w14:textId="77777777" w:rsidR="00C41866" w:rsidRPr="00650D5D" w:rsidRDefault="00C41866" w:rsidP="009F60BC">
          <w:pPr>
            <w:pStyle w:val="Header"/>
            <w:ind w:right="360"/>
            <w:rPr>
              <w:i/>
              <w:sz w:val="18"/>
              <w:szCs w:val="18"/>
              <w:lang w:val="en-US"/>
            </w:rPr>
          </w:pPr>
        </w:p>
      </w:tc>
      <w:tc>
        <w:tcPr>
          <w:tcW w:w="7073" w:type="dxa"/>
        </w:tcPr>
        <w:p w14:paraId="5C885E55" w14:textId="77777777" w:rsidR="00C41866" w:rsidRDefault="00C41866" w:rsidP="008F7927">
          <w:pPr>
            <w:pStyle w:val="Header"/>
            <w:ind w:right="360"/>
            <w:rPr>
              <w:i/>
              <w:sz w:val="20"/>
              <w:szCs w:val="20"/>
            </w:rPr>
          </w:pPr>
        </w:p>
      </w:tc>
    </w:tr>
  </w:tbl>
  <w:p w14:paraId="36A2AB58" w14:textId="77777777" w:rsidR="00C41866" w:rsidRPr="00EF3893" w:rsidRDefault="00C41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5AEF" w14:textId="77777777" w:rsidR="00F66A6B" w:rsidRDefault="00F66A6B" w:rsidP="00A514D4">
    <w:pPr>
      <w:pStyle w:val="Footer"/>
    </w:pPr>
  </w:p>
  <w:p w14:paraId="1B245134" w14:textId="77777777" w:rsidR="00F66A6B" w:rsidRPr="00A514D4" w:rsidRDefault="00F66A6B" w:rsidP="00A514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DFA0" w14:textId="77777777" w:rsidR="007721D1" w:rsidRPr="00EA77F1" w:rsidRDefault="007721D1" w:rsidP="007721D1">
    <w:pPr>
      <w:pStyle w:val="MFooterSection"/>
      <w:jc w:val="left"/>
      <w:rPr>
        <w:rFonts w:ascii="Arial" w:hAnsi="Arial" w:cs="Arial"/>
        <w:szCs w:val="18"/>
      </w:rPr>
    </w:pPr>
  </w:p>
  <w:tbl>
    <w:tblPr>
      <w:tblW w:w="5000" w:type="pct"/>
      <w:tblBorders>
        <w:top w:val="single" w:sz="4" w:space="0" w:color="auto"/>
      </w:tblBorders>
      <w:tblLook w:val="01E0" w:firstRow="1" w:lastRow="1" w:firstColumn="1" w:lastColumn="1" w:noHBand="0" w:noVBand="0"/>
    </w:tblPr>
    <w:tblGrid>
      <w:gridCol w:w="2515"/>
      <w:gridCol w:w="7122"/>
    </w:tblGrid>
    <w:tr w:rsidR="007721D1" w:rsidRPr="00EA77F1" w14:paraId="6E41D2E4" w14:textId="77777777" w:rsidTr="004A7D5E">
      <w:tc>
        <w:tcPr>
          <w:tcW w:w="1305" w:type="pct"/>
        </w:tcPr>
        <w:p w14:paraId="4220A7C2" w14:textId="77777777" w:rsidR="007721D1" w:rsidRPr="00EA77F1" w:rsidRDefault="007721D1" w:rsidP="007721D1">
          <w:pPr>
            <w:pStyle w:val="MFooterSection"/>
            <w:jc w:val="left"/>
            <w:rPr>
              <w:rFonts w:ascii="Arial" w:hAnsi="Arial" w:cs="Arial"/>
              <w:szCs w:val="18"/>
            </w:rPr>
          </w:pPr>
          <w:r w:rsidRPr="00EA77F1">
            <w:rPr>
              <w:rFonts w:ascii="Arial" w:hAnsi="Arial" w:cs="Arial"/>
              <w:szCs w:val="18"/>
            </w:rPr>
            <w:t>Milieu Consulting SRL</w:t>
          </w:r>
        </w:p>
        <w:p w14:paraId="79D0A4E0" w14:textId="50DCDC18" w:rsidR="007721D1" w:rsidRPr="00EA77F1" w:rsidRDefault="007721D1" w:rsidP="007721D1">
          <w:pPr>
            <w:pStyle w:val="MFooterSection"/>
            <w:jc w:val="left"/>
            <w:rPr>
              <w:rFonts w:ascii="Arial" w:hAnsi="Arial" w:cs="Arial"/>
              <w:szCs w:val="18"/>
            </w:rPr>
          </w:pPr>
          <w:r w:rsidRPr="00EA77F1">
            <w:rPr>
              <w:rFonts w:ascii="Arial" w:hAnsi="Arial" w:cs="Arial"/>
              <w:szCs w:val="18"/>
            </w:rPr>
            <w:t xml:space="preserve">Brussels, </w:t>
          </w:r>
          <w:r w:rsidR="007E2DFE">
            <w:rPr>
              <w:rFonts w:ascii="Arial" w:hAnsi="Arial" w:cs="Arial"/>
              <w:szCs w:val="18"/>
            </w:rPr>
            <w:t>March 2023</w:t>
          </w:r>
          <w:r w:rsidRPr="00EA77F1">
            <w:rPr>
              <w:rFonts w:ascii="Arial" w:hAnsi="Arial" w:cs="Arial"/>
              <w:szCs w:val="18"/>
            </w:rPr>
            <w:t xml:space="preserve"> </w:t>
          </w:r>
        </w:p>
      </w:tc>
      <w:tc>
        <w:tcPr>
          <w:tcW w:w="3695" w:type="pct"/>
        </w:tcPr>
        <w:p w14:paraId="7DDC320E" w14:textId="77777777" w:rsidR="00083CC5" w:rsidRDefault="007721D1" w:rsidP="007721D1">
          <w:pPr>
            <w:pStyle w:val="MFooterSection"/>
            <w:rPr>
              <w:rFonts w:ascii="Arial" w:hAnsi="Arial" w:cs="Arial"/>
              <w:szCs w:val="18"/>
            </w:rPr>
          </w:pPr>
          <w:r w:rsidRPr="007046E4">
            <w:rPr>
              <w:rFonts w:ascii="Arial" w:hAnsi="Arial" w:cs="Arial"/>
              <w:szCs w:val="18"/>
            </w:rPr>
            <w:t xml:space="preserve">Use of the rule of law legal instruments in the face of mounting dissensus </w:t>
          </w:r>
        </w:p>
        <w:p w14:paraId="54522427" w14:textId="4EA3D2D6" w:rsidR="007721D1" w:rsidRPr="00EA77F1" w:rsidRDefault="007721D1" w:rsidP="007721D1">
          <w:pPr>
            <w:pStyle w:val="MFooterSection"/>
            <w:rPr>
              <w:rFonts w:ascii="Arial" w:hAnsi="Arial" w:cs="Arial"/>
              <w:szCs w:val="18"/>
            </w:rPr>
          </w:pPr>
          <w:r w:rsidRPr="007046E4">
            <w:rPr>
              <w:rFonts w:ascii="Arial" w:hAnsi="Arial" w:cs="Arial"/>
              <w:szCs w:val="18"/>
            </w:rPr>
            <w:t>at a national level</w:t>
          </w:r>
        </w:p>
      </w:tc>
    </w:tr>
  </w:tbl>
  <w:p w14:paraId="6E447627" w14:textId="77777777" w:rsidR="007721D1" w:rsidRPr="00EA77F1" w:rsidRDefault="007721D1" w:rsidP="007721D1">
    <w:pPr>
      <w:pStyle w:val="MFooterSection"/>
      <w:jc w:val="left"/>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DA097" w14:textId="77777777" w:rsidR="00A741C5" w:rsidRDefault="00A741C5">
      <w:r>
        <w:separator/>
      </w:r>
    </w:p>
  </w:footnote>
  <w:footnote w:type="continuationSeparator" w:id="0">
    <w:p w14:paraId="2F9A98DB" w14:textId="77777777" w:rsidR="00A741C5" w:rsidRDefault="00A741C5">
      <w:r>
        <w:continuationSeparator/>
      </w:r>
    </w:p>
    <w:p w14:paraId="58E6DFCD" w14:textId="77777777" w:rsidR="00A741C5" w:rsidRDefault="00A741C5"/>
    <w:p w14:paraId="2C2497F0" w14:textId="77777777" w:rsidR="00A741C5" w:rsidRDefault="00A741C5"/>
  </w:footnote>
  <w:footnote w:id="1">
    <w:p w14:paraId="425A1DBF" w14:textId="77777777" w:rsidR="00131239" w:rsidRPr="00131239" w:rsidRDefault="00131239" w:rsidP="00F35C05">
      <w:pPr>
        <w:pStyle w:val="MFootnoteText"/>
        <w:rPr>
          <w:rFonts w:ascii="Times New Roman" w:hAnsi="Times New Roman"/>
          <w:sz w:val="18"/>
          <w:lang w:val="de-DE"/>
        </w:rPr>
      </w:pPr>
      <w:r w:rsidRPr="002E31CA">
        <w:rPr>
          <w:rStyle w:val="FootnoteReference"/>
          <w:sz w:val="18"/>
        </w:rPr>
        <w:footnoteRef/>
      </w:r>
      <w:r w:rsidRPr="00131239">
        <w:rPr>
          <w:rFonts w:ascii="Times New Roman" w:hAnsi="Times New Roman"/>
          <w:sz w:val="18"/>
          <w:lang w:val="de-DE"/>
        </w:rPr>
        <w:t xml:space="preserve"> </w:t>
      </w:r>
      <w:hyperlink r:id="rId1" w:history="1">
        <w:r w:rsidRPr="00131239">
          <w:rPr>
            <w:rStyle w:val="Hyperlink"/>
            <w:rFonts w:ascii="Times New Roman" w:hAnsi="Times New Roman"/>
            <w:sz w:val="18"/>
            <w:lang w:val="de-DE"/>
          </w:rPr>
          <w:t>https://eur-lex.europa.eu/legal-content/EN/TXT/PDF/?uri=CELEX:52014DC0158&amp;from=EN</w:t>
        </w:r>
      </w:hyperlink>
      <w:r w:rsidRPr="00131239">
        <w:rPr>
          <w:rFonts w:ascii="Times New Roman" w:hAnsi="Times New Roman"/>
          <w:sz w:val="18"/>
          <w:lang w:val="de-DE"/>
        </w:rPr>
        <w:t xml:space="preserve"> </w:t>
      </w:r>
    </w:p>
  </w:footnote>
  <w:footnote w:id="2">
    <w:p w14:paraId="16340CB8" w14:textId="77777777" w:rsidR="00131239" w:rsidRPr="007A5C63" w:rsidRDefault="00131239" w:rsidP="00F35C05">
      <w:pPr>
        <w:pStyle w:val="MFootnoteText"/>
      </w:pPr>
      <w:r>
        <w:rPr>
          <w:rStyle w:val="FootnoteReference"/>
        </w:rPr>
        <w:footnoteRef/>
      </w:r>
      <w:r w:rsidRPr="007A5C63">
        <w:t xml:space="preserve"> </w:t>
      </w:r>
      <w:hyperlink r:id="rId2" w:history="1">
        <w:r w:rsidRPr="00EE46B2">
          <w:rPr>
            <w:rStyle w:val="Hyperlink"/>
          </w:rPr>
          <w:t>file:///C:/Users/salvatore/Downloads/resilience-without-resistance-public-administration-under-mutating-populisms-in-office-in-italy.pdf</w:t>
        </w:r>
      </w:hyperlink>
      <w:r>
        <w:t xml:space="preserve"> </w:t>
      </w:r>
    </w:p>
  </w:footnote>
  <w:footnote w:id="3">
    <w:p w14:paraId="65D8AAA2" w14:textId="77777777" w:rsidR="00131239" w:rsidRPr="000B69E4" w:rsidRDefault="00131239" w:rsidP="00F35C05">
      <w:pPr>
        <w:pStyle w:val="MFootnoteText"/>
      </w:pPr>
      <w:r>
        <w:rPr>
          <w:rStyle w:val="FootnoteReference"/>
        </w:rPr>
        <w:footnoteRef/>
      </w:r>
      <w:r w:rsidRPr="000B69E4">
        <w:t xml:space="preserve"> </w:t>
      </w:r>
      <w:r>
        <w:t xml:space="preserve">See </w:t>
      </w:r>
      <w:hyperlink r:id="rId3" w:history="1">
        <w:r w:rsidRPr="00107816">
          <w:rPr>
            <w:rStyle w:val="Hyperlink"/>
          </w:rPr>
          <w:t>https://www.democratic-erosion.com/2020/02/12/democratic-backsliding-in-italy-and-the-rise-of-matteo-salvini/</w:t>
        </w:r>
      </w:hyperlink>
      <w:r>
        <w:t xml:space="preserve"> </w:t>
      </w:r>
    </w:p>
  </w:footnote>
  <w:footnote w:id="4">
    <w:p w14:paraId="4F969557" w14:textId="5C7B3899" w:rsidR="00D415C6" w:rsidRPr="00D415C6" w:rsidRDefault="00D415C6">
      <w:pPr>
        <w:pStyle w:val="FootnoteText"/>
      </w:pPr>
      <w:r>
        <w:rPr>
          <w:rStyle w:val="FootnoteReference"/>
        </w:rPr>
        <w:footnoteRef/>
      </w:r>
      <w:r>
        <w:t xml:space="preserve"> </w:t>
      </w:r>
      <w:hyperlink r:id="rId4" w:history="1">
        <w:r w:rsidRPr="004A2067">
          <w:rPr>
            <w:rStyle w:val="Hyperlink"/>
          </w:rPr>
          <w:t>http://documenti.camera.it/leg18/pdl/pdf/leg.18.pdl.camera.716.18PDL0015210.pdf</w:t>
        </w:r>
      </w:hyperlink>
      <w:r>
        <w:t xml:space="preserve"> </w:t>
      </w:r>
    </w:p>
  </w:footnote>
  <w:footnote w:id="5">
    <w:p w14:paraId="4417071B" w14:textId="77777777" w:rsidR="00131239" w:rsidRPr="00A94F30" w:rsidRDefault="00131239" w:rsidP="00F35C05">
      <w:pPr>
        <w:pStyle w:val="MFootnoteText"/>
      </w:pPr>
      <w:r>
        <w:rPr>
          <w:rStyle w:val="FootnoteReference"/>
        </w:rPr>
        <w:footnoteRef/>
      </w:r>
      <w:r w:rsidRPr="00A94F30">
        <w:t xml:space="preserve"> See Constitutional Court judgment n</w:t>
      </w:r>
      <w:r>
        <w:t>o 106/2002</w:t>
      </w:r>
    </w:p>
  </w:footnote>
  <w:footnote w:id="6">
    <w:p w14:paraId="3E99E20B" w14:textId="351CA300" w:rsidR="00DB75A9" w:rsidRPr="00DB75A9" w:rsidRDefault="00DB75A9">
      <w:pPr>
        <w:pStyle w:val="FootnoteText"/>
      </w:pPr>
      <w:r>
        <w:rPr>
          <w:rStyle w:val="FootnoteReference"/>
        </w:rPr>
        <w:footnoteRef/>
      </w:r>
      <w:r>
        <w:t xml:space="preserve"> </w:t>
      </w:r>
      <w:r w:rsidR="00EF4A7F">
        <w:t xml:space="preserve">Law </w:t>
      </w:r>
      <w:r w:rsidR="00EF4A7F">
        <w:t>n 68 of 22 May 2025 published in the Official Gazette no 122 28 May 2015.</w:t>
      </w:r>
    </w:p>
  </w:footnote>
  <w:footnote w:id="7">
    <w:p w14:paraId="727D3399" w14:textId="502557DB" w:rsidR="00131239" w:rsidRPr="00F66A6B" w:rsidRDefault="00131239" w:rsidP="00F66A6B">
      <w:pPr>
        <w:pStyle w:val="MFootnoteText"/>
        <w:rPr>
          <w:rFonts w:ascii="Times New Roman" w:hAnsi="Times New Roman"/>
          <w:sz w:val="18"/>
        </w:rPr>
      </w:pPr>
      <w:r>
        <w:rPr>
          <w:rStyle w:val="FootnoteReference"/>
        </w:rPr>
        <w:footnoteRef/>
      </w:r>
      <w:r w:rsidRPr="00ED1C21">
        <w:t xml:space="preserve"> </w:t>
      </w:r>
      <w:r w:rsidRPr="00AF1996">
        <w:rPr>
          <w:rFonts w:ascii="Times New Roman" w:hAnsi="Times New Roman"/>
          <w:sz w:val="18"/>
        </w:rPr>
        <w:t>G. Di Federico, ‘Judicial Independence in Italy’ (2012) in  A. Seibert-</w:t>
      </w:r>
      <w:r w:rsidRPr="00AF1996">
        <w:rPr>
          <w:rFonts w:ascii="Times New Roman" w:hAnsi="Times New Roman"/>
          <w:sz w:val="18"/>
        </w:rPr>
        <w:t xml:space="preserve">Fohr (eds.), Judicial Independence in Transition: Strengthening the Rule of Law in OSCE Region available at </w:t>
      </w:r>
      <w:hyperlink r:id="rId5" w:history="1">
        <w:r w:rsidRPr="00344938">
          <w:rPr>
            <w:rStyle w:val="Hyperlink"/>
            <w:rFonts w:ascii="Times New Roman" w:hAnsi="Times New Roman"/>
            <w:sz w:val="18"/>
            <w:lang w:val="en-US"/>
          </w:rPr>
          <w:t>https://www.europarl.europa.eu/document/activities/cont/200804/20080403ATT25664/20080403ATT25664IT.pdf last accessed 02/03/2023</w:t>
        </w:r>
      </w:hyperlink>
      <w:r w:rsidRPr="00AF1996">
        <w:rPr>
          <w:rFonts w:ascii="Times New Roman" w:hAnsi="Times New Roman"/>
          <w:sz w:val="18"/>
        </w:rPr>
        <w:t>.</w:t>
      </w:r>
      <w:r>
        <w:rPr>
          <w:rFonts w:ascii="Times New Roman" w:hAnsi="Times New Roman"/>
          <w:sz w:val="18"/>
        </w:rPr>
        <w:t xml:space="preserve"> </w:t>
      </w:r>
    </w:p>
  </w:footnote>
  <w:footnote w:id="8">
    <w:p w14:paraId="48317589" w14:textId="77777777" w:rsidR="00131239" w:rsidRPr="007604F6" w:rsidRDefault="00131239" w:rsidP="00F35C05">
      <w:pPr>
        <w:pStyle w:val="MFootnoteText"/>
      </w:pPr>
      <w:r>
        <w:rPr>
          <w:rStyle w:val="FootnoteReference"/>
        </w:rPr>
        <w:footnoteRef/>
      </w:r>
      <w:r w:rsidRPr="007604F6">
        <w:t xml:space="preserve"> </w:t>
      </w:r>
      <w:r>
        <w:t xml:space="preserve">See </w:t>
      </w:r>
      <w:r w:rsidRPr="008903C4">
        <w:t xml:space="preserve">also the Constitutional Court sentence no 115/2011 available at </w:t>
      </w:r>
      <w:hyperlink r:id="rId6" w:history="1">
        <w:r w:rsidRPr="008903C4">
          <w:rPr>
            <w:rStyle w:val="Hyperlink"/>
          </w:rPr>
          <w:t>https://www.forgionegianluca.it/PROCEDIMENTI_AMMINISTRATIVI/DOTTRINA/FONTI/2011_ccost_115_principio_legalita_sostanziale.php</w:t>
        </w:r>
      </w:hyperlink>
      <w:r>
        <w:t xml:space="preserve"> </w:t>
      </w:r>
    </w:p>
  </w:footnote>
  <w:footnote w:id="9">
    <w:p w14:paraId="0B2127B4" w14:textId="3F04BAB1" w:rsidR="00D43697" w:rsidRPr="00D43697" w:rsidRDefault="00D43697">
      <w:pPr>
        <w:pStyle w:val="FootnoteText"/>
      </w:pPr>
      <w:r>
        <w:rPr>
          <w:rStyle w:val="FootnoteReference"/>
        </w:rPr>
        <w:footnoteRef/>
      </w:r>
      <w:r>
        <w:t xml:space="preserve"> The Chamber of Deputies held that </w:t>
      </w:r>
      <w:r>
        <w:t>Salvini acted, on that occasion, in the interest of the State.</w:t>
      </w:r>
    </w:p>
  </w:footnote>
  <w:footnote w:id="10">
    <w:p w14:paraId="398D40BA" w14:textId="52CD1712" w:rsidR="00D43697" w:rsidRPr="00D43697" w:rsidRDefault="00D43697">
      <w:pPr>
        <w:pStyle w:val="FootnoteText"/>
      </w:pPr>
      <w:r>
        <w:rPr>
          <w:rStyle w:val="FootnoteReference"/>
        </w:rPr>
        <w:footnoteRef/>
      </w:r>
      <w:r>
        <w:t xml:space="preserve"> The public prosecutor decided not to prosecute due to lack of evidence.</w:t>
      </w:r>
    </w:p>
  </w:footnote>
  <w:footnote w:id="11">
    <w:p w14:paraId="3B9E15D1" w14:textId="77777777" w:rsidR="00D43697" w:rsidRPr="00F31FF6" w:rsidRDefault="00D43697" w:rsidP="00D43697">
      <w:pPr>
        <w:pStyle w:val="MFootnoteText"/>
        <w:rPr>
          <w:lang w:val="it-IT"/>
        </w:rPr>
      </w:pPr>
      <w:r>
        <w:rPr>
          <w:rStyle w:val="FootnoteReference"/>
        </w:rPr>
        <w:footnoteRef/>
      </w:r>
      <w:r w:rsidRPr="00F31FF6">
        <w:rPr>
          <w:lang w:val="it-IT"/>
        </w:rPr>
        <w:t xml:space="preserve"> decreto-legge 4 ottobre 2018, n. 113, coordinato con la legge di conversione 1º dicembre 2018, n. 132 Gazzetta Ufficiale 3 dicembre 2018, n. 281</w:t>
      </w:r>
    </w:p>
  </w:footnote>
  <w:footnote w:id="12">
    <w:p w14:paraId="2C76D379" w14:textId="77777777" w:rsidR="00131239" w:rsidRPr="00982DAA" w:rsidRDefault="00131239" w:rsidP="00F35C05">
      <w:pPr>
        <w:pStyle w:val="MFootnoteText"/>
      </w:pPr>
      <w:r>
        <w:rPr>
          <w:rStyle w:val="FootnoteReference"/>
        </w:rPr>
        <w:footnoteRef/>
      </w:r>
      <w:r w:rsidRPr="00982DAA">
        <w:t xml:space="preserve"> </w:t>
      </w:r>
      <w:r>
        <w:t xml:space="preserve">See </w:t>
      </w:r>
      <w:hyperlink r:id="rId7" w:history="1">
        <w:r w:rsidRPr="00EE46B2">
          <w:rPr>
            <w:rStyle w:val="Hyperlink"/>
          </w:rPr>
          <w:t>https://cidu.esteri.it/comitatodirittiumani/it/</w:t>
        </w:r>
      </w:hyperlink>
      <w:r>
        <w:t xml:space="preserve"> </w:t>
      </w:r>
    </w:p>
  </w:footnote>
  <w:footnote w:id="13">
    <w:p w14:paraId="3AD7AD68" w14:textId="77777777" w:rsidR="005C3578" w:rsidRPr="007433AB" w:rsidRDefault="005C3578" w:rsidP="005C3578">
      <w:pPr>
        <w:pStyle w:val="MFootnoteText"/>
      </w:pPr>
      <w:r>
        <w:rPr>
          <w:rStyle w:val="FootnoteReference"/>
        </w:rPr>
        <w:footnoteRef/>
      </w:r>
      <w:r w:rsidRPr="007433AB">
        <w:t xml:space="preserve"> </w:t>
      </w:r>
      <w:hyperlink r:id="rId8" w:history="1">
        <w:r w:rsidRPr="008A37AF">
          <w:rPr>
            <w:rStyle w:val="Hyperlink"/>
          </w:rPr>
          <w:t>https://democracy-reporting.org/en/office/EU/publications/italys-election-and-the-rule-of-law</w:t>
        </w:r>
      </w:hyperlink>
      <w:r>
        <w:t xml:space="preserve"> </w:t>
      </w:r>
    </w:p>
  </w:footnote>
  <w:footnote w:id="14">
    <w:p w14:paraId="11E63FB1" w14:textId="4B2672AB" w:rsidR="00131239" w:rsidRPr="001B1517" w:rsidRDefault="00131239" w:rsidP="001B1517">
      <w:pPr>
        <w:pStyle w:val="MFootnoteText"/>
        <w:rPr>
          <w:rFonts w:ascii="Times New Roman" w:hAnsi="Times New Roman"/>
          <w:sz w:val="18"/>
        </w:rPr>
      </w:pPr>
      <w:r w:rsidRPr="00AF1996">
        <w:rPr>
          <w:rStyle w:val="FootnoteReference"/>
          <w:sz w:val="18"/>
        </w:rPr>
        <w:footnoteRef/>
      </w:r>
      <w:r w:rsidRPr="00AF1996">
        <w:rPr>
          <w:rFonts w:ascii="Times New Roman" w:hAnsi="Times New Roman"/>
          <w:sz w:val="18"/>
        </w:rPr>
        <w:t xml:space="preserve"> See G. Di Federico, ‘Judicial Independence in Italy’ (2012) in  A. Seibert-</w:t>
      </w:r>
      <w:r w:rsidRPr="00AF1996">
        <w:rPr>
          <w:rFonts w:ascii="Times New Roman" w:hAnsi="Times New Roman"/>
          <w:sz w:val="18"/>
        </w:rPr>
        <w:t xml:space="preserve">Fohr (eds.), Judicial Independence in Transition: Strengthening the Rule of Law in OSCE Region available at </w:t>
      </w:r>
      <w:hyperlink r:id="rId9" w:history="1">
        <w:r w:rsidRPr="00AF1996">
          <w:rPr>
            <w:rStyle w:val="Hyperlink"/>
            <w:rFonts w:ascii="Times New Roman" w:hAnsi="Times New Roman"/>
            <w:sz w:val="18"/>
            <w:lang w:val="en-US"/>
          </w:rPr>
          <w:t>https://www.europarl.europa.eu/document/activities/cont/200804/20080403ATT25664/20080403ATT25664IT.pdf</w:t>
        </w:r>
      </w:hyperlink>
      <w:r w:rsidRPr="00AF1996">
        <w:rPr>
          <w:rFonts w:ascii="Times New Roman" w:hAnsi="Times New Roman"/>
          <w:sz w:val="18"/>
          <w:lang w:val="en-US"/>
        </w:rPr>
        <w:t xml:space="preserve"> last accessed 02/03/2023</w:t>
      </w:r>
      <w:r w:rsidRPr="00AF1996">
        <w:rPr>
          <w:rFonts w:ascii="Times New Roman" w:hAnsi="Times New Roman"/>
          <w:sz w:val="18"/>
        </w:rPr>
        <w:t>.</w:t>
      </w:r>
    </w:p>
  </w:footnote>
  <w:footnote w:id="15">
    <w:p w14:paraId="572D8453" w14:textId="77777777" w:rsidR="00131239" w:rsidRPr="00AF1996" w:rsidRDefault="00131239" w:rsidP="00F35C05">
      <w:pPr>
        <w:pStyle w:val="MFootnoteText"/>
        <w:rPr>
          <w:rFonts w:ascii="Times New Roman" w:hAnsi="Times New Roman"/>
          <w:sz w:val="18"/>
        </w:rPr>
      </w:pPr>
      <w:r w:rsidRPr="00AF1996">
        <w:rPr>
          <w:rStyle w:val="FootnoteReference"/>
          <w:sz w:val="18"/>
        </w:rPr>
        <w:footnoteRef/>
      </w:r>
      <w:r w:rsidRPr="00AF1996">
        <w:rPr>
          <w:rFonts w:ascii="Times New Roman" w:hAnsi="Times New Roman"/>
          <w:sz w:val="18"/>
        </w:rPr>
        <w:t xml:space="preserve"> See in this respect COM Staff Working Document</w:t>
      </w:r>
      <w:r>
        <w:rPr>
          <w:rFonts w:ascii="Times New Roman" w:hAnsi="Times New Roman"/>
          <w:sz w:val="18"/>
        </w:rPr>
        <w:t xml:space="preserve"> (</w:t>
      </w:r>
      <w:r w:rsidRPr="00AF1996">
        <w:rPr>
          <w:rFonts w:ascii="Times New Roman" w:hAnsi="Times New Roman"/>
          <w:sz w:val="18"/>
        </w:rPr>
        <w:t>SWD(2020) 311 final, 2020 Rule of Law Report</w:t>
      </w:r>
    </w:p>
    <w:p w14:paraId="083A4A49" w14:textId="77777777" w:rsidR="00131239" w:rsidRPr="00AF1996" w:rsidRDefault="00131239" w:rsidP="00F35C05">
      <w:pPr>
        <w:pStyle w:val="MFootnoteText"/>
        <w:rPr>
          <w:rFonts w:ascii="Times New Roman" w:hAnsi="Times New Roman"/>
          <w:sz w:val="18"/>
        </w:rPr>
      </w:pPr>
      <w:r w:rsidRPr="00AF1996">
        <w:rPr>
          <w:rFonts w:ascii="Times New Roman" w:hAnsi="Times New Roman"/>
          <w:sz w:val="18"/>
        </w:rPr>
        <w:t>Country Chapter on the rule of law situation in Italy</w:t>
      </w:r>
      <w:r>
        <w:rPr>
          <w:rFonts w:ascii="Times New Roman" w:hAnsi="Times New Roman"/>
          <w:sz w:val="18"/>
        </w:rPr>
        <w:t xml:space="preserve"> available at </w:t>
      </w:r>
      <w:hyperlink r:id="rId10" w:history="1">
        <w:r w:rsidRPr="00EE46B2">
          <w:rPr>
            <w:rStyle w:val="Hyperlink"/>
            <w:rFonts w:ascii="Times New Roman" w:hAnsi="Times New Roman"/>
            <w:sz w:val="18"/>
          </w:rPr>
          <w:t>https://eur-lex.europa.eu/legal-content/EN/TXT/PDF/?uri=CELEX:52020SC0311&amp;from=EN</w:t>
        </w:r>
      </w:hyperlink>
      <w:r>
        <w:rPr>
          <w:rFonts w:ascii="Times New Roman" w:hAnsi="Times New Roman"/>
          <w:sz w:val="18"/>
        </w:rPr>
        <w:t xml:space="preserve"> last accessed 28/02/2023. </w:t>
      </w:r>
    </w:p>
  </w:footnote>
  <w:footnote w:id="16">
    <w:p w14:paraId="3F4075BC" w14:textId="77777777" w:rsidR="00131239" w:rsidRPr="00F31FF6" w:rsidRDefault="00131239" w:rsidP="00F35C05">
      <w:pPr>
        <w:pStyle w:val="MFootnoteText"/>
        <w:rPr>
          <w:lang w:val="it-IT"/>
        </w:rPr>
      </w:pPr>
      <w:r>
        <w:rPr>
          <w:rStyle w:val="FootnoteReference"/>
        </w:rPr>
        <w:footnoteRef/>
      </w:r>
      <w:r w:rsidRPr="00F31FF6">
        <w:rPr>
          <w:lang w:val="it-IT"/>
        </w:rPr>
        <w:t xml:space="preserve"> decreto-legge 4 ottobre 2018, n. 113, coordinato con la legge di conversione 1º dicembre 2018, n. 132 Gazzetta Ufficiale 3 dicembre 2018, n. 281</w:t>
      </w:r>
    </w:p>
  </w:footnote>
  <w:footnote w:id="17">
    <w:p w14:paraId="26F19560" w14:textId="77777777" w:rsidR="00131239" w:rsidRPr="00F31FF6" w:rsidRDefault="00131239" w:rsidP="00F35C05">
      <w:pPr>
        <w:pStyle w:val="MFootnoteText"/>
        <w:rPr>
          <w:rFonts w:ascii="Times New Roman" w:hAnsi="Times New Roman"/>
          <w:sz w:val="18"/>
          <w:lang w:val="it-IT"/>
        </w:rPr>
      </w:pPr>
      <w:r w:rsidRPr="008864E9">
        <w:rPr>
          <w:rStyle w:val="FootnoteReference"/>
          <w:sz w:val="18"/>
        </w:rPr>
        <w:footnoteRef/>
      </w:r>
      <w:r w:rsidRPr="00F31FF6">
        <w:rPr>
          <w:rFonts w:ascii="Times New Roman" w:hAnsi="Times New Roman"/>
          <w:sz w:val="18"/>
          <w:lang w:val="it-IT"/>
        </w:rPr>
        <w:t xml:space="preserve"> </w:t>
      </w:r>
      <w:r w:rsidR="00DE3353">
        <w:fldChar w:fldCharType="begin"/>
      </w:r>
      <w:r w:rsidR="00DE3353" w:rsidRPr="00151C69">
        <w:rPr>
          <w:lang w:val="it-IT"/>
        </w:rPr>
        <w:instrText>HYPERLINK "https://commission.europa.eu/publications/2022-rule-law-report-communication-and-country-chapters_en"</w:instrText>
      </w:r>
      <w:r w:rsidR="00DE3353">
        <w:fldChar w:fldCharType="separate"/>
      </w:r>
      <w:r w:rsidRPr="00F31FF6">
        <w:rPr>
          <w:rStyle w:val="Hyperlink"/>
          <w:rFonts w:ascii="Times New Roman" w:hAnsi="Times New Roman"/>
          <w:sz w:val="18"/>
          <w:lang w:val="it-IT"/>
        </w:rPr>
        <w:t>https://commission.europa.eu/publications/2022-rule-law-report-communication-and-country-chapters_en</w:t>
      </w:r>
      <w:r w:rsidR="00DE3353">
        <w:rPr>
          <w:rStyle w:val="Hyperlink"/>
          <w:rFonts w:ascii="Times New Roman" w:hAnsi="Times New Roman"/>
          <w:sz w:val="18"/>
          <w:lang w:val="it-IT"/>
        </w:rPr>
        <w:fldChar w:fldCharType="end"/>
      </w:r>
      <w:r w:rsidRPr="00F31FF6">
        <w:rPr>
          <w:rFonts w:ascii="Times New Roman" w:hAnsi="Times New Roman"/>
          <w:sz w:val="18"/>
          <w:lang w:val="it-IT"/>
        </w:rPr>
        <w:t xml:space="preserve"> </w:t>
      </w:r>
    </w:p>
  </w:footnote>
  <w:footnote w:id="18">
    <w:p w14:paraId="3BDEF613" w14:textId="77777777" w:rsidR="00120AF2" w:rsidRPr="007433AB" w:rsidRDefault="00120AF2" w:rsidP="00120AF2">
      <w:pPr>
        <w:pStyle w:val="MFootnoteText"/>
      </w:pPr>
      <w:r>
        <w:rPr>
          <w:rStyle w:val="FootnoteReference"/>
        </w:rPr>
        <w:footnoteRef/>
      </w:r>
      <w:r w:rsidRPr="007433AB">
        <w:t xml:space="preserve"> See also </w:t>
      </w:r>
      <w:r w:rsidRPr="007433AB">
        <w:t>https://democracy-reporting.org/en/office/EU/publications/the-eu-rule-of-law-report-2023-our-key-items-for-the-commission-to-watch-out-for</w:t>
      </w:r>
    </w:p>
  </w:footnote>
  <w:footnote w:id="19">
    <w:p w14:paraId="1CFC42D1" w14:textId="77777777" w:rsidR="00131239" w:rsidRPr="008C415A" w:rsidRDefault="00131239" w:rsidP="00F35C05">
      <w:pPr>
        <w:pStyle w:val="MFootnoteText"/>
      </w:pPr>
      <w:r>
        <w:rPr>
          <w:rStyle w:val="FootnoteReference"/>
        </w:rPr>
        <w:footnoteRef/>
      </w:r>
      <w:r w:rsidRPr="008C415A">
        <w:t xml:space="preserve"> Report 2020</w:t>
      </w:r>
    </w:p>
  </w:footnote>
  <w:footnote w:id="20">
    <w:p w14:paraId="149C1595" w14:textId="1B43BE2C" w:rsidR="00131239" w:rsidRPr="008C415A" w:rsidRDefault="00131239" w:rsidP="00F35C05">
      <w:pPr>
        <w:pStyle w:val="MFootnoteText"/>
      </w:pPr>
      <w:r>
        <w:rPr>
          <w:rStyle w:val="FootnoteReference"/>
        </w:rPr>
        <w:footnoteRef/>
      </w:r>
      <w:r w:rsidRPr="008C415A">
        <w:t xml:space="preserve"> </w:t>
      </w:r>
      <w:hyperlink r:id="rId11" w:history="1">
        <w:r w:rsidR="009E381B" w:rsidRPr="00083CC5">
          <w:rPr>
            <w:rStyle w:val="Hyperlink"/>
            <w:rFonts w:ascii="Times New Roman" w:hAnsi="Times New Roman"/>
            <w:sz w:val="18"/>
          </w:rPr>
          <w:t>https://commission.europa.eu/publications/2022-rule-law-report-communication-and-country-chapters_en</w:t>
        </w:r>
      </w:hyperlink>
    </w:p>
  </w:footnote>
  <w:footnote w:id="21">
    <w:p w14:paraId="6EA28D96" w14:textId="77777777" w:rsidR="003275F6" w:rsidRPr="00D10F51" w:rsidRDefault="003275F6" w:rsidP="003275F6">
      <w:pPr>
        <w:pStyle w:val="MFootnoteText"/>
      </w:pPr>
      <w:r>
        <w:rPr>
          <w:rStyle w:val="FootnoteReference"/>
        </w:rPr>
        <w:footnoteRef/>
      </w:r>
      <w:r w:rsidRPr="00D10F51">
        <w:t xml:space="preserve"> See </w:t>
      </w:r>
      <w:hyperlink r:id="rId12" w:history="1">
        <w:r w:rsidRPr="008A37AF">
          <w:rPr>
            <w:rStyle w:val="Hyperlink"/>
          </w:rPr>
          <w:t>https://reform-support.ec.europa.eu/supporting-reforms-italy-tsi-2022_en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5403" w14:textId="77777777" w:rsidR="00F66A6B" w:rsidRPr="007721D1" w:rsidRDefault="00F66A6B" w:rsidP="00772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Look w:val="01E0" w:firstRow="1" w:lastRow="1" w:firstColumn="1" w:lastColumn="1" w:noHBand="0" w:noVBand="0"/>
    </w:tblPr>
    <w:tblGrid>
      <w:gridCol w:w="10466"/>
    </w:tblGrid>
    <w:tr w:rsidR="007721D1" w:rsidRPr="00EA77F1" w14:paraId="3D1104B4" w14:textId="77777777" w:rsidTr="004A7D5E">
      <w:tc>
        <w:tcPr>
          <w:tcW w:w="5000" w:type="pct"/>
        </w:tcPr>
        <w:p w14:paraId="41D254EE" w14:textId="77777777" w:rsidR="007721D1" w:rsidRPr="00EA77F1" w:rsidRDefault="007721D1" w:rsidP="007721D1">
          <w:pPr>
            <w:pStyle w:val="MFooterSection"/>
            <w:rPr>
              <w:rFonts w:ascii="Arial" w:hAnsi="Arial" w:cs="Arial"/>
              <w:szCs w:val="18"/>
            </w:rPr>
          </w:pPr>
          <w:r>
            <w:rPr>
              <w:rFonts w:ascii="Arial" w:hAnsi="Arial" w:cs="Arial"/>
              <w:szCs w:val="18"/>
            </w:rPr>
            <w:t>Italy /</w:t>
          </w:r>
          <w:r w:rsidRPr="004E20ED">
            <w:rPr>
              <w:rFonts w:ascii="Arial" w:hAnsi="Arial" w:cs="Arial"/>
              <w:szCs w:val="18"/>
            </w:rPr>
            <w:fldChar w:fldCharType="begin"/>
          </w:r>
          <w:r w:rsidRPr="004E20ED">
            <w:rPr>
              <w:rFonts w:ascii="Arial" w:hAnsi="Arial" w:cs="Arial"/>
              <w:szCs w:val="18"/>
            </w:rPr>
            <w:instrText xml:space="preserve"> PAGE   \* MERGEFORMAT </w:instrText>
          </w:r>
          <w:r w:rsidRPr="004E20ED">
            <w:rPr>
              <w:rFonts w:ascii="Arial" w:hAnsi="Arial" w:cs="Arial"/>
              <w:szCs w:val="18"/>
            </w:rPr>
            <w:fldChar w:fldCharType="separate"/>
          </w:r>
          <w:r>
            <w:rPr>
              <w:rFonts w:ascii="Arial" w:hAnsi="Arial" w:cs="Arial"/>
              <w:szCs w:val="18"/>
            </w:rPr>
            <w:t>5</w:t>
          </w:r>
          <w:r w:rsidRPr="004E20ED">
            <w:rPr>
              <w:rFonts w:ascii="Arial" w:hAnsi="Arial" w:cs="Arial"/>
              <w:noProof/>
              <w:szCs w:val="18"/>
            </w:rPr>
            <w:fldChar w:fldCharType="end"/>
          </w:r>
          <w:r>
            <w:rPr>
              <w:rFonts w:ascii="Arial" w:hAnsi="Arial" w:cs="Arial"/>
              <w:szCs w:val="18"/>
            </w:rPr>
            <w:t xml:space="preserve"> </w:t>
          </w:r>
        </w:p>
      </w:tc>
    </w:tr>
  </w:tbl>
  <w:p w14:paraId="3556445C" w14:textId="77777777" w:rsidR="007721D1" w:rsidRPr="007721D1" w:rsidRDefault="007721D1" w:rsidP="00772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E68EF00"/>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37F0568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FB41B96"/>
    <w:multiLevelType w:val="multilevel"/>
    <w:tmpl w:val="2BC0B240"/>
    <w:lvl w:ilvl="0">
      <w:start w:val="1"/>
      <w:numFmt w:val="decimal"/>
      <w:pStyle w:val="MH1"/>
      <w:lvlText w:val="%1."/>
      <w:lvlJc w:val="left"/>
      <w:pPr>
        <w:ind w:left="360" w:hanging="360"/>
      </w:pPr>
      <w:rPr>
        <w:b w:val="0"/>
        <w:bCs w:val="0"/>
        <w:i w:val="0"/>
        <w:iCs w:val="0"/>
        <w:caps w:val="0"/>
        <w:smallCaps w:val="0"/>
        <w:strike w:val="0"/>
        <w:dstrike w:val="0"/>
        <w:outline w:val="0"/>
        <w:shadow w:val="0"/>
        <w:emboss w:val="0"/>
        <w:imprint w:val="0"/>
        <w:noProof w:val="0"/>
        <w:vanish w:val="0"/>
        <w:color w:val="7AB8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860"/>
        </w:tabs>
        <w:ind w:left="860"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64"/>
        </w:tabs>
        <w:ind w:left="1764" w:hanging="864"/>
      </w:pPr>
      <w:rPr>
        <w:b w:val="0"/>
        <w:bCs w:val="0"/>
        <w:i w:val="0"/>
        <w:iCs w:val="0"/>
        <w:caps w:val="0"/>
        <w:smallCaps w:val="0"/>
        <w:strike w:val="0"/>
        <w:dstrike w:val="0"/>
        <w:outline w:val="0"/>
        <w:shadow w:val="0"/>
        <w:emboss w:val="0"/>
        <w:imprint w:val="0"/>
        <w:noProof w:val="0"/>
        <w:vanish w:val="0"/>
        <w:color w:val="7AB8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17721CB8"/>
    <w:multiLevelType w:val="hybridMultilevel"/>
    <w:tmpl w:val="F98C31C0"/>
    <w:lvl w:ilvl="0" w:tplc="8FBEED3C">
      <w:start w:val="1"/>
      <w:numFmt w:val="bullet"/>
      <w:lvlText w:val=""/>
      <w:lvlJc w:val="left"/>
      <w:pPr>
        <w:ind w:left="360" w:hanging="360"/>
      </w:pPr>
      <w:rPr>
        <w:rFonts w:ascii="Wingdings" w:hAnsi="Wingdings" w:hint="default"/>
        <w:b w:val="0"/>
        <w:i w:val="0"/>
        <w:color w:val="C3D69B" w:themeColor="accent1"/>
        <w:sz w:val="16"/>
        <w:u w:color="00008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96572EB"/>
    <w:multiLevelType w:val="hybridMultilevel"/>
    <w:tmpl w:val="921259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B7462D7"/>
    <w:multiLevelType w:val="hybridMultilevel"/>
    <w:tmpl w:val="5E1A8A9A"/>
    <w:lvl w:ilvl="0" w:tplc="FD52C828">
      <w:start w:val="1"/>
      <w:numFmt w:val="bullet"/>
      <w:pStyle w:val="MMultileveltable"/>
      <w:lvlText w:val=""/>
      <w:lvlJc w:val="left"/>
      <w:pPr>
        <w:ind w:left="720" w:hanging="360"/>
      </w:pPr>
      <w:rPr>
        <w:rFonts w:ascii="Wingdings" w:hAnsi="Wingdings" w:hint="default"/>
        <w:b w:val="0"/>
        <w:i w:val="0"/>
        <w:color w:val="EAF1DD" w:themeColor="text2"/>
        <w:sz w:val="16"/>
        <w:u w:color="0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E7F7B"/>
    <w:multiLevelType w:val="hybridMultilevel"/>
    <w:tmpl w:val="C0B20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E022E"/>
    <w:multiLevelType w:val="hybridMultilevel"/>
    <w:tmpl w:val="AE929F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E802CF5"/>
    <w:multiLevelType w:val="multilevel"/>
    <w:tmpl w:val="6E648792"/>
    <w:styleLink w:val="MilieuList"/>
    <w:lvl w:ilvl="0">
      <w:start w:val="1"/>
      <w:numFmt w:val="bullet"/>
      <w:lvlText w:val=""/>
      <w:lvlJc w:val="left"/>
      <w:pPr>
        <w:ind w:left="425" w:hanging="425"/>
      </w:pPr>
      <w:rPr>
        <w:rFonts w:ascii="Wingdings" w:hAnsi="Wingdings" w:hint="default"/>
        <w:caps w:val="0"/>
        <w:strike w:val="0"/>
        <w:dstrike w:val="0"/>
        <w:vanish w:val="0"/>
        <w:color w:val="7AB8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51"/>
        </w:tabs>
        <w:ind w:left="851" w:hanging="426"/>
      </w:pPr>
      <w:rPr>
        <w:rFonts w:ascii="Wingdings" w:hAnsi="Wingdings" w:hint="default"/>
        <w:color w:val="7AB800"/>
      </w:rPr>
    </w:lvl>
    <w:lvl w:ilvl="2">
      <w:start w:val="1"/>
      <w:numFmt w:val="bullet"/>
      <w:lvlText w:val=""/>
      <w:lvlJc w:val="left"/>
      <w:pPr>
        <w:tabs>
          <w:tab w:val="num" w:pos="1276"/>
        </w:tabs>
        <w:ind w:left="1276" w:hanging="425"/>
      </w:pPr>
      <w:rPr>
        <w:rFonts w:ascii="Wingdings" w:hAnsi="Wingdings" w:hint="default"/>
        <w:color w:val="7AB800"/>
      </w:rPr>
    </w:lvl>
    <w:lvl w:ilvl="3">
      <w:start w:val="1"/>
      <w:numFmt w:val="bullet"/>
      <w:lvlText w:val=""/>
      <w:lvlJc w:val="left"/>
      <w:pPr>
        <w:tabs>
          <w:tab w:val="num" w:pos="1701"/>
        </w:tabs>
        <w:ind w:left="1701" w:hanging="425"/>
      </w:pPr>
      <w:rPr>
        <w:rFonts w:ascii="Symbol" w:hAnsi="Symbol" w:hint="default"/>
        <w:caps w:val="0"/>
        <w:strike w:val="0"/>
        <w:dstrike w:val="0"/>
        <w:vanish w:val="0"/>
        <w:color w:val="7AB8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E8846FD"/>
    <w:multiLevelType w:val="multilevel"/>
    <w:tmpl w:val="47BEC374"/>
    <w:styleLink w:val="LFO39"/>
    <w:lvl w:ilvl="0">
      <w:numFmt w:val="bullet"/>
      <w:lvlText w:val="▪"/>
      <w:lvlJc w:val="left"/>
      <w:pPr>
        <w:ind w:left="720" w:hanging="360"/>
      </w:pPr>
      <w:rPr>
        <w:rFonts w:ascii="Sylfaen" w:hAnsi="Sylfaen"/>
        <w:color w:val="7FB800"/>
        <w:sz w:val="4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10B25CA"/>
    <w:multiLevelType w:val="multilevel"/>
    <w:tmpl w:val="50BEE81A"/>
    <w:styleLink w:val="MProposallevels"/>
    <w:lvl w:ilvl="0">
      <w:start w:val="1"/>
      <w:numFmt w:val="bullet"/>
      <w:lvlText w:val=""/>
      <w:lvlJc w:val="left"/>
      <w:pPr>
        <w:ind w:left="425" w:hanging="425"/>
      </w:pPr>
      <w:rPr>
        <w:rFonts w:ascii="Wingdings" w:hAnsi="Wingdings" w:hint="default"/>
        <w:caps w:val="0"/>
        <w:strike w:val="0"/>
        <w:dstrike w:val="0"/>
        <w:vanish w:val="0"/>
        <w:color w:val="7AB8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51"/>
        </w:tabs>
        <w:ind w:left="851" w:hanging="426"/>
      </w:pPr>
      <w:rPr>
        <w:rFonts w:ascii="Wingdings" w:hAnsi="Wingdings" w:hint="default"/>
        <w:color w:val="7AB800"/>
      </w:rPr>
    </w:lvl>
    <w:lvl w:ilvl="2">
      <w:start w:val="1"/>
      <w:numFmt w:val="bullet"/>
      <w:lvlText w:val=""/>
      <w:lvlJc w:val="left"/>
      <w:pPr>
        <w:tabs>
          <w:tab w:val="num" w:pos="1276"/>
        </w:tabs>
        <w:ind w:left="1276" w:hanging="425"/>
      </w:pPr>
      <w:rPr>
        <w:rFonts w:ascii="Wingdings" w:hAnsi="Wingdings" w:hint="default"/>
        <w:b/>
        <w:bCs w:val="0"/>
        <w:color w:val="7AB800" w:themeColor="background2"/>
      </w:rPr>
    </w:lvl>
    <w:lvl w:ilvl="3">
      <w:start w:val="1"/>
      <w:numFmt w:val="bullet"/>
      <w:lvlText w:val=""/>
      <w:lvlJc w:val="left"/>
      <w:pPr>
        <w:tabs>
          <w:tab w:val="num" w:pos="1701"/>
        </w:tabs>
        <w:ind w:left="1701" w:hanging="425"/>
      </w:pPr>
      <w:rPr>
        <w:rFonts w:ascii="Symbol" w:hAnsi="Symbol" w:hint="default"/>
        <w:b/>
        <w:bCs w:val="0"/>
        <w:caps w:val="0"/>
        <w:strike w:val="0"/>
        <w:dstrike w:val="0"/>
        <w:vanish w:val="0"/>
        <w:color w:val="7AB800" w:themeColor="background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45141ED"/>
    <w:multiLevelType w:val="hybridMultilevel"/>
    <w:tmpl w:val="7D96473A"/>
    <w:lvl w:ilvl="0" w:tplc="E8883D96">
      <w:start w:val="1"/>
      <w:numFmt w:val="bullet"/>
      <w:lvlText w:val=""/>
      <w:lvlJc w:val="left"/>
      <w:pPr>
        <w:ind w:left="360" w:hanging="360"/>
      </w:pPr>
      <w:rPr>
        <w:rFonts w:ascii="Wingdings" w:hAnsi="Wingdings" w:hint="default"/>
        <w:b w:val="0"/>
        <w:i w:val="0"/>
        <w:color w:val="7AB800"/>
        <w:sz w:val="14"/>
        <w:szCs w:val="18"/>
        <w:u w:color="000080"/>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346B22FB"/>
    <w:multiLevelType w:val="hybridMultilevel"/>
    <w:tmpl w:val="2CE837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B501B27"/>
    <w:multiLevelType w:val="hybridMultilevel"/>
    <w:tmpl w:val="AE72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D22741"/>
    <w:multiLevelType w:val="multilevel"/>
    <w:tmpl w:val="8BCEC804"/>
    <w:lvl w:ilvl="0">
      <w:start w:val="1"/>
      <w:numFmt w:val="bullet"/>
      <w:pStyle w:val="MBTbullets"/>
      <w:lvlText w:val=""/>
      <w:lvlJc w:val="left"/>
      <w:pPr>
        <w:ind w:left="425" w:hanging="425"/>
      </w:pPr>
      <w:rPr>
        <w:rFonts w:ascii="Wingdings" w:hAnsi="Wingdings" w:hint="default"/>
        <w:caps w:val="0"/>
        <w:strike w:val="0"/>
        <w:dstrike w:val="0"/>
        <w:vanish w:val="0"/>
        <w:color w:val="7AB800"/>
        <w:sz w:val="14"/>
        <w:szCs w:val="1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51"/>
        </w:tabs>
        <w:ind w:left="851" w:hanging="426"/>
      </w:pPr>
      <w:rPr>
        <w:rFonts w:ascii="Wingdings" w:hAnsi="Wingdings" w:hint="default"/>
        <w:color w:val="7AB800"/>
      </w:rPr>
    </w:lvl>
    <w:lvl w:ilvl="2">
      <w:start w:val="1"/>
      <w:numFmt w:val="bullet"/>
      <w:lvlText w:val=""/>
      <w:lvlJc w:val="left"/>
      <w:pPr>
        <w:tabs>
          <w:tab w:val="num" w:pos="1276"/>
        </w:tabs>
        <w:ind w:left="1276" w:hanging="425"/>
      </w:pPr>
      <w:rPr>
        <w:rFonts w:ascii="Wingdings" w:hAnsi="Wingdings" w:hint="default"/>
        <w:b/>
        <w:bCs w:val="0"/>
        <w:color w:val="7AB800" w:themeColor="background2"/>
      </w:rPr>
    </w:lvl>
    <w:lvl w:ilvl="3">
      <w:start w:val="1"/>
      <w:numFmt w:val="bullet"/>
      <w:lvlText w:val=""/>
      <w:lvlJc w:val="left"/>
      <w:pPr>
        <w:tabs>
          <w:tab w:val="num" w:pos="1701"/>
        </w:tabs>
        <w:ind w:left="1701" w:hanging="425"/>
      </w:pPr>
      <w:rPr>
        <w:rFonts w:ascii="Symbol" w:hAnsi="Symbol" w:hint="default"/>
        <w:b/>
        <w:bCs w:val="0"/>
        <w:caps w:val="0"/>
        <w:strike w:val="0"/>
        <w:dstrike w:val="0"/>
        <w:vanish w:val="0"/>
        <w:color w:val="7AB800" w:themeColor="background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2C54A91"/>
    <w:multiLevelType w:val="hybridMultilevel"/>
    <w:tmpl w:val="BAF4B48E"/>
    <w:lvl w:ilvl="0" w:tplc="8FBEED3C">
      <w:start w:val="1"/>
      <w:numFmt w:val="bullet"/>
      <w:lvlText w:val=""/>
      <w:lvlJc w:val="left"/>
      <w:pPr>
        <w:ind w:left="360" w:hanging="360"/>
      </w:pPr>
      <w:rPr>
        <w:rFonts w:ascii="Wingdings" w:hAnsi="Wingdings" w:hint="default"/>
        <w:b w:val="0"/>
        <w:i w:val="0"/>
        <w:color w:val="C3D69B" w:themeColor="accent1"/>
        <w:sz w:val="16"/>
        <w:u w:color="00008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45B14759"/>
    <w:multiLevelType w:val="hybridMultilevel"/>
    <w:tmpl w:val="A9E8AD80"/>
    <w:lvl w:ilvl="0" w:tplc="7EA03D06">
      <w:start w:val="1"/>
      <w:numFmt w:val="bullet"/>
      <w:lvlText w:val=""/>
      <w:lvlJc w:val="left"/>
      <w:pPr>
        <w:ind w:left="720" w:hanging="360"/>
      </w:pPr>
      <w:rPr>
        <w:rFonts w:ascii="Symbol" w:hAnsi="Symbol" w:hint="default"/>
        <w:color w:val="FF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70434A9"/>
    <w:multiLevelType w:val="multilevel"/>
    <w:tmpl w:val="50BEE81A"/>
    <w:styleLink w:val="Style1"/>
    <w:lvl w:ilvl="0">
      <w:start w:val="1"/>
      <w:numFmt w:val="bullet"/>
      <w:lvlText w:val=""/>
      <w:lvlJc w:val="left"/>
      <w:pPr>
        <w:ind w:left="425" w:hanging="425"/>
      </w:pPr>
      <w:rPr>
        <w:rFonts w:ascii="Wingdings" w:hAnsi="Wingdings" w:hint="default"/>
        <w:caps w:val="0"/>
        <w:strike w:val="0"/>
        <w:dstrike w:val="0"/>
        <w:vanish w:val="0"/>
        <w:color w:val="7AB8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51"/>
        </w:tabs>
        <w:ind w:left="851" w:hanging="426"/>
      </w:pPr>
      <w:rPr>
        <w:rFonts w:ascii="Wingdings" w:hAnsi="Wingdings" w:hint="default"/>
        <w:color w:val="7AB800"/>
      </w:rPr>
    </w:lvl>
    <w:lvl w:ilvl="2">
      <w:start w:val="1"/>
      <w:numFmt w:val="bullet"/>
      <w:lvlText w:val=""/>
      <w:lvlJc w:val="left"/>
      <w:pPr>
        <w:tabs>
          <w:tab w:val="num" w:pos="1276"/>
        </w:tabs>
        <w:ind w:left="1276" w:hanging="425"/>
      </w:pPr>
      <w:rPr>
        <w:rFonts w:ascii="Wingdings" w:hAnsi="Wingdings" w:hint="default"/>
        <w:b/>
        <w:bCs w:val="0"/>
        <w:color w:val="7AB800" w:themeColor="background2"/>
      </w:rPr>
    </w:lvl>
    <w:lvl w:ilvl="3">
      <w:start w:val="1"/>
      <w:numFmt w:val="bullet"/>
      <w:lvlText w:val=""/>
      <w:lvlJc w:val="left"/>
      <w:pPr>
        <w:tabs>
          <w:tab w:val="num" w:pos="1701"/>
        </w:tabs>
        <w:ind w:left="1701" w:hanging="425"/>
      </w:pPr>
      <w:rPr>
        <w:rFonts w:ascii="Symbol" w:hAnsi="Symbol" w:hint="default"/>
        <w:b/>
        <w:bCs w:val="0"/>
        <w:caps w:val="0"/>
        <w:strike w:val="0"/>
        <w:dstrike w:val="0"/>
        <w:vanish w:val="0"/>
        <w:color w:val="7AB800" w:themeColor="background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21A0151"/>
    <w:multiLevelType w:val="hybridMultilevel"/>
    <w:tmpl w:val="654EF68C"/>
    <w:lvl w:ilvl="0" w:tplc="D7A2FC52">
      <w:start w:val="1"/>
      <w:numFmt w:val="bullet"/>
      <w:pStyle w:val="MMultilevelBulletedListSub"/>
      <w:lvlText w:val=""/>
      <w:lvlJc w:val="left"/>
      <w:pPr>
        <w:ind w:left="1728" w:hanging="360"/>
      </w:pPr>
      <w:rPr>
        <w:rFonts w:ascii="Wingdings" w:hAnsi="Wingdings" w:hint="default"/>
        <w:b w:val="0"/>
        <w:i w:val="0"/>
        <w:color w:val="7FB800"/>
        <w:sz w:val="16"/>
        <w:u w:color="000080"/>
      </w:rPr>
    </w:lvl>
    <w:lvl w:ilvl="1" w:tplc="080C0003" w:tentative="1">
      <w:start w:val="1"/>
      <w:numFmt w:val="bullet"/>
      <w:lvlText w:val="o"/>
      <w:lvlJc w:val="left"/>
      <w:pPr>
        <w:ind w:left="2448" w:hanging="360"/>
      </w:pPr>
      <w:rPr>
        <w:rFonts w:ascii="Courier New" w:hAnsi="Courier New" w:cs="Courier New" w:hint="default"/>
      </w:rPr>
    </w:lvl>
    <w:lvl w:ilvl="2" w:tplc="080C0005" w:tentative="1">
      <w:start w:val="1"/>
      <w:numFmt w:val="bullet"/>
      <w:lvlText w:val=""/>
      <w:lvlJc w:val="left"/>
      <w:pPr>
        <w:ind w:left="3168" w:hanging="360"/>
      </w:pPr>
      <w:rPr>
        <w:rFonts w:ascii="Wingdings" w:hAnsi="Wingdings" w:hint="default"/>
      </w:rPr>
    </w:lvl>
    <w:lvl w:ilvl="3" w:tplc="080C0001" w:tentative="1">
      <w:start w:val="1"/>
      <w:numFmt w:val="bullet"/>
      <w:lvlText w:val=""/>
      <w:lvlJc w:val="left"/>
      <w:pPr>
        <w:ind w:left="3888" w:hanging="360"/>
      </w:pPr>
      <w:rPr>
        <w:rFonts w:ascii="Symbol" w:hAnsi="Symbol" w:hint="default"/>
      </w:rPr>
    </w:lvl>
    <w:lvl w:ilvl="4" w:tplc="080C0003" w:tentative="1">
      <w:start w:val="1"/>
      <w:numFmt w:val="bullet"/>
      <w:lvlText w:val="o"/>
      <w:lvlJc w:val="left"/>
      <w:pPr>
        <w:ind w:left="4608" w:hanging="360"/>
      </w:pPr>
      <w:rPr>
        <w:rFonts w:ascii="Courier New" w:hAnsi="Courier New" w:cs="Courier New" w:hint="default"/>
      </w:rPr>
    </w:lvl>
    <w:lvl w:ilvl="5" w:tplc="080C0005" w:tentative="1">
      <w:start w:val="1"/>
      <w:numFmt w:val="bullet"/>
      <w:lvlText w:val=""/>
      <w:lvlJc w:val="left"/>
      <w:pPr>
        <w:ind w:left="5328" w:hanging="360"/>
      </w:pPr>
      <w:rPr>
        <w:rFonts w:ascii="Wingdings" w:hAnsi="Wingdings" w:hint="default"/>
      </w:rPr>
    </w:lvl>
    <w:lvl w:ilvl="6" w:tplc="080C0001" w:tentative="1">
      <w:start w:val="1"/>
      <w:numFmt w:val="bullet"/>
      <w:lvlText w:val=""/>
      <w:lvlJc w:val="left"/>
      <w:pPr>
        <w:ind w:left="6048" w:hanging="360"/>
      </w:pPr>
      <w:rPr>
        <w:rFonts w:ascii="Symbol" w:hAnsi="Symbol" w:hint="default"/>
      </w:rPr>
    </w:lvl>
    <w:lvl w:ilvl="7" w:tplc="080C0003" w:tentative="1">
      <w:start w:val="1"/>
      <w:numFmt w:val="bullet"/>
      <w:lvlText w:val="o"/>
      <w:lvlJc w:val="left"/>
      <w:pPr>
        <w:ind w:left="6768" w:hanging="360"/>
      </w:pPr>
      <w:rPr>
        <w:rFonts w:ascii="Courier New" w:hAnsi="Courier New" w:cs="Courier New" w:hint="default"/>
      </w:rPr>
    </w:lvl>
    <w:lvl w:ilvl="8" w:tplc="080C0005" w:tentative="1">
      <w:start w:val="1"/>
      <w:numFmt w:val="bullet"/>
      <w:lvlText w:val=""/>
      <w:lvlJc w:val="left"/>
      <w:pPr>
        <w:ind w:left="7488" w:hanging="360"/>
      </w:pPr>
      <w:rPr>
        <w:rFonts w:ascii="Wingdings" w:hAnsi="Wingdings" w:hint="default"/>
      </w:rPr>
    </w:lvl>
  </w:abstractNum>
  <w:abstractNum w:abstractNumId="19" w15:restartNumberingAfterBreak="0">
    <w:nsid w:val="59740419"/>
    <w:multiLevelType w:val="hybridMultilevel"/>
    <w:tmpl w:val="E7D6A3BC"/>
    <w:lvl w:ilvl="0" w:tplc="F89E8A58">
      <w:start w:val="1"/>
      <w:numFmt w:val="bullet"/>
      <w:pStyle w:val="MMultilevelBulletedList"/>
      <w:lvlText w:val=""/>
      <w:lvlJc w:val="left"/>
      <w:pPr>
        <w:ind w:left="1123" w:hanging="360"/>
      </w:pPr>
      <w:rPr>
        <w:rFonts w:ascii="Wingdings" w:hAnsi="Wingdings" w:hint="default"/>
        <w:b w:val="0"/>
        <w:i w:val="0"/>
        <w:color w:val="7FB800"/>
        <w:sz w:val="16"/>
        <w:u w:color="000080"/>
      </w:rPr>
    </w:lvl>
    <w:lvl w:ilvl="1" w:tplc="080C0003" w:tentative="1">
      <w:start w:val="1"/>
      <w:numFmt w:val="bullet"/>
      <w:lvlText w:val="o"/>
      <w:lvlJc w:val="left"/>
      <w:pPr>
        <w:ind w:left="1843" w:hanging="360"/>
      </w:pPr>
      <w:rPr>
        <w:rFonts w:ascii="Courier New" w:hAnsi="Courier New" w:cs="Courier New" w:hint="default"/>
      </w:rPr>
    </w:lvl>
    <w:lvl w:ilvl="2" w:tplc="080C0005" w:tentative="1">
      <w:start w:val="1"/>
      <w:numFmt w:val="bullet"/>
      <w:lvlText w:val=""/>
      <w:lvlJc w:val="left"/>
      <w:pPr>
        <w:ind w:left="2563" w:hanging="360"/>
      </w:pPr>
      <w:rPr>
        <w:rFonts w:ascii="Wingdings" w:hAnsi="Wingdings" w:hint="default"/>
      </w:rPr>
    </w:lvl>
    <w:lvl w:ilvl="3" w:tplc="080C0001" w:tentative="1">
      <w:start w:val="1"/>
      <w:numFmt w:val="bullet"/>
      <w:lvlText w:val=""/>
      <w:lvlJc w:val="left"/>
      <w:pPr>
        <w:ind w:left="3283" w:hanging="360"/>
      </w:pPr>
      <w:rPr>
        <w:rFonts w:ascii="Symbol" w:hAnsi="Symbol" w:hint="default"/>
      </w:rPr>
    </w:lvl>
    <w:lvl w:ilvl="4" w:tplc="080C0003" w:tentative="1">
      <w:start w:val="1"/>
      <w:numFmt w:val="bullet"/>
      <w:lvlText w:val="o"/>
      <w:lvlJc w:val="left"/>
      <w:pPr>
        <w:ind w:left="4003" w:hanging="360"/>
      </w:pPr>
      <w:rPr>
        <w:rFonts w:ascii="Courier New" w:hAnsi="Courier New" w:cs="Courier New" w:hint="default"/>
      </w:rPr>
    </w:lvl>
    <w:lvl w:ilvl="5" w:tplc="080C0005" w:tentative="1">
      <w:start w:val="1"/>
      <w:numFmt w:val="bullet"/>
      <w:lvlText w:val=""/>
      <w:lvlJc w:val="left"/>
      <w:pPr>
        <w:ind w:left="4723" w:hanging="360"/>
      </w:pPr>
      <w:rPr>
        <w:rFonts w:ascii="Wingdings" w:hAnsi="Wingdings" w:hint="default"/>
      </w:rPr>
    </w:lvl>
    <w:lvl w:ilvl="6" w:tplc="080C0001" w:tentative="1">
      <w:start w:val="1"/>
      <w:numFmt w:val="bullet"/>
      <w:lvlText w:val=""/>
      <w:lvlJc w:val="left"/>
      <w:pPr>
        <w:ind w:left="5443" w:hanging="360"/>
      </w:pPr>
      <w:rPr>
        <w:rFonts w:ascii="Symbol" w:hAnsi="Symbol" w:hint="default"/>
      </w:rPr>
    </w:lvl>
    <w:lvl w:ilvl="7" w:tplc="080C0003" w:tentative="1">
      <w:start w:val="1"/>
      <w:numFmt w:val="bullet"/>
      <w:lvlText w:val="o"/>
      <w:lvlJc w:val="left"/>
      <w:pPr>
        <w:ind w:left="6163" w:hanging="360"/>
      </w:pPr>
      <w:rPr>
        <w:rFonts w:ascii="Courier New" w:hAnsi="Courier New" w:cs="Courier New" w:hint="default"/>
      </w:rPr>
    </w:lvl>
    <w:lvl w:ilvl="8" w:tplc="080C0005" w:tentative="1">
      <w:start w:val="1"/>
      <w:numFmt w:val="bullet"/>
      <w:lvlText w:val=""/>
      <w:lvlJc w:val="left"/>
      <w:pPr>
        <w:ind w:left="6883" w:hanging="360"/>
      </w:pPr>
      <w:rPr>
        <w:rFonts w:ascii="Wingdings" w:hAnsi="Wingdings" w:hint="default"/>
      </w:rPr>
    </w:lvl>
  </w:abstractNum>
  <w:abstractNum w:abstractNumId="20" w15:restartNumberingAfterBreak="0">
    <w:nsid w:val="59F54EF3"/>
    <w:multiLevelType w:val="hybridMultilevel"/>
    <w:tmpl w:val="F8BE3CF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7D4616"/>
    <w:multiLevelType w:val="multilevel"/>
    <w:tmpl w:val="F97CB552"/>
    <w:styleLink w:val="LFO2"/>
    <w:lvl w:ilvl="0">
      <w:start w:val="1"/>
      <w:numFmt w:val="decimal"/>
      <w:lvlText w:val="%1."/>
      <w:lvlJc w:val="left"/>
      <w:pPr>
        <w:ind w:left="360" w:hanging="360"/>
      </w:pPr>
      <w:rPr>
        <w:b/>
        <w:bCs/>
        <w:i w:val="0"/>
        <w:iCs w:val="0"/>
        <w:caps/>
        <w:strike w:val="0"/>
        <w:dstrike w:val="0"/>
        <w:vanish w:val="0"/>
        <w:color w:val="7FB800"/>
        <w:spacing w:val="0"/>
        <w:w w:val="100"/>
        <w:kern w:val="0"/>
        <w:position w:val="0"/>
        <w:sz w:val="24"/>
        <w:szCs w:val="24"/>
        <w:u w:val="none"/>
        <w:vertAlign w:val="baseline"/>
        <w:em w:val="none"/>
      </w:rPr>
    </w:lvl>
    <w:lvl w:ilvl="1">
      <w:start w:val="1"/>
      <w:numFmt w:val="decimal"/>
      <w:lvlText w:val="%1.%2"/>
      <w:lvlJc w:val="left"/>
      <w:pPr>
        <w:ind w:left="576" w:hanging="576"/>
      </w:pPr>
      <w:rPr>
        <w:rFonts w:ascii="Century Gothic" w:hAnsi="Century Gothic" w:cs="Times New Roman"/>
        <w:i w:val="0"/>
        <w:smallCaps w:val="0"/>
        <w:strike w:val="0"/>
        <w:dstrike w:val="0"/>
        <w:vanish w:val="0"/>
        <w:color w:val="7FB800"/>
        <w:spacing w:val="0"/>
        <w:kern w:val="0"/>
        <w:position w:val="0"/>
        <w:u w:val="none"/>
        <w:vertAlign w:val="baseline"/>
        <w:em w:val="none"/>
      </w:rPr>
    </w:lvl>
    <w:lvl w:ilvl="2">
      <w:start w:val="1"/>
      <w:numFmt w:val="decimal"/>
      <w:lvlText w:val="%1.%2.%3"/>
      <w:lvlJc w:val="left"/>
      <w:pPr>
        <w:ind w:left="720" w:hanging="720"/>
      </w:pPr>
      <w:rPr>
        <w:rFonts w:ascii="Century Gothic" w:hAnsi="Century Gothic" w:cs="Times New Roman"/>
        <w:i w:val="0"/>
        <w:smallCaps w:val="0"/>
        <w:strike w:val="0"/>
        <w:dstrike w:val="0"/>
        <w:vanish w:val="0"/>
        <w:color w:val="auto"/>
        <w:spacing w:val="0"/>
        <w:kern w:val="0"/>
        <w:position w:val="0"/>
        <w:u w:val="none"/>
        <w:vertAlign w:val="baseline"/>
        <w:em w:val="none"/>
      </w:rPr>
    </w:lvl>
    <w:lvl w:ilvl="3">
      <w:start w:val="1"/>
      <w:numFmt w:val="decimal"/>
      <w:lvlText w:val="%1.%2.%3.%4"/>
      <w:lvlJc w:val="left"/>
      <w:pPr>
        <w:ind w:left="1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12F03B0"/>
    <w:multiLevelType w:val="hybridMultilevel"/>
    <w:tmpl w:val="4D2CE092"/>
    <w:lvl w:ilvl="0" w:tplc="783C08C8">
      <w:start w:val="1"/>
      <w:numFmt w:val="bullet"/>
      <w:pStyle w:val="MMultilevelList"/>
      <w:lvlText w:val="▪"/>
      <w:lvlJc w:val="left"/>
      <w:pPr>
        <w:ind w:left="720" w:hanging="360"/>
      </w:pPr>
      <w:rPr>
        <w:rFonts w:ascii="Sylfaen" w:hAnsi="Sylfaen" w:hint="default"/>
        <w:color w:val="7FB800"/>
        <w:sz w:val="4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CC4D91"/>
    <w:multiLevelType w:val="multilevel"/>
    <w:tmpl w:val="AEF8E6AA"/>
    <w:styleLink w:val="LFO23"/>
    <w:lvl w:ilvl="0">
      <w:start w:val="1"/>
      <w:numFmt w:val="decimal"/>
      <w:pStyle w:val="Heading1"/>
      <w:lvlText w:val="%1"/>
      <w:lvlJc w:val="left"/>
      <w:pPr>
        <w:tabs>
          <w:tab w:val="num" w:pos="432"/>
        </w:tabs>
        <w:ind w:left="432" w:hanging="432"/>
      </w:pPr>
      <w:rPr>
        <w:rFonts w:ascii="Century Gothic" w:hAnsi="Century Gothic" w:hint="default"/>
        <w:b/>
        <w:bCs/>
        <w:i w:val="0"/>
        <w:iCs w:val="0"/>
        <w:caps w:val="0"/>
        <w:smallCaps w:val="0"/>
        <w:strike w:val="0"/>
        <w:dstrike w:val="0"/>
        <w:color w:val="auto"/>
        <w:spacing w:val="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Century Gothic" w:hAnsi="Century Gothic" w:hint="default"/>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64"/>
        </w:tabs>
        <w:ind w:left="17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5D01E4C"/>
    <w:multiLevelType w:val="multilevel"/>
    <w:tmpl w:val="54A2468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A1D3638"/>
    <w:multiLevelType w:val="hybridMultilevel"/>
    <w:tmpl w:val="997CC126"/>
    <w:lvl w:ilvl="0" w:tplc="B0D8C24C">
      <w:start w:val="1"/>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CFB3266"/>
    <w:multiLevelType w:val="hybridMultilevel"/>
    <w:tmpl w:val="CF766812"/>
    <w:lvl w:ilvl="0" w:tplc="D7F0A62C">
      <w:start w:val="1"/>
      <w:numFmt w:val="bullet"/>
      <w:lvlText w:val=""/>
      <w:lvlJc w:val="left"/>
      <w:pPr>
        <w:ind w:left="720" w:hanging="360"/>
      </w:pPr>
      <w:rPr>
        <w:rFonts w:ascii="Symbol" w:hAnsi="Symbol" w:hint="default"/>
        <w:b w:val="0"/>
        <w:i w:val="0"/>
        <w:color w:val="FF0000"/>
        <w:sz w:val="16"/>
        <w:u w:color="00008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DA35422"/>
    <w:multiLevelType w:val="hybridMultilevel"/>
    <w:tmpl w:val="45CE4932"/>
    <w:lvl w:ilvl="0" w:tplc="D5B053BE">
      <w:start w:val="1"/>
      <w:numFmt w:val="bullet"/>
      <w:lvlText w:val=""/>
      <w:lvlJc w:val="left"/>
      <w:pPr>
        <w:ind w:left="720" w:hanging="360"/>
      </w:pPr>
      <w:rPr>
        <w:rFonts w:ascii="Symbol" w:hAnsi="Symbol" w:hint="default"/>
        <w:color w:val="002395"/>
      </w:rPr>
    </w:lvl>
    <w:lvl w:ilvl="1" w:tplc="69F4236A">
      <w:numFmt w:val="bullet"/>
      <w:lvlText w:val="-"/>
      <w:lvlJc w:val="left"/>
      <w:pPr>
        <w:ind w:left="1440" w:hanging="360"/>
      </w:pPr>
      <w:rPr>
        <w:rFonts w:ascii="Verdana" w:eastAsia="Times New Roman" w:hAnsi="Verdana"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29577214">
    <w:abstractNumId w:val="23"/>
  </w:num>
  <w:num w:numId="2" w16cid:durableId="1518421286">
    <w:abstractNumId w:val="2"/>
  </w:num>
  <w:num w:numId="3" w16cid:durableId="1824735661">
    <w:abstractNumId w:val="14"/>
  </w:num>
  <w:num w:numId="4" w16cid:durableId="29451593">
    <w:abstractNumId w:val="8"/>
  </w:num>
  <w:num w:numId="5" w16cid:durableId="607389944">
    <w:abstractNumId w:val="1"/>
  </w:num>
  <w:num w:numId="6" w16cid:durableId="706176900">
    <w:abstractNumId w:val="11"/>
  </w:num>
  <w:num w:numId="7" w16cid:durableId="277874255">
    <w:abstractNumId w:val="22"/>
  </w:num>
  <w:num w:numId="8" w16cid:durableId="57172303">
    <w:abstractNumId w:val="5"/>
  </w:num>
  <w:num w:numId="9" w16cid:durableId="446772928">
    <w:abstractNumId w:val="0"/>
  </w:num>
  <w:num w:numId="10" w16cid:durableId="1699816213">
    <w:abstractNumId w:val="19"/>
  </w:num>
  <w:num w:numId="11" w16cid:durableId="1223174171">
    <w:abstractNumId w:val="18"/>
  </w:num>
  <w:num w:numId="12" w16cid:durableId="188682583">
    <w:abstractNumId w:val="9"/>
  </w:num>
  <w:num w:numId="13" w16cid:durableId="1424885783">
    <w:abstractNumId w:val="26"/>
  </w:num>
  <w:num w:numId="14" w16cid:durableId="1428115135">
    <w:abstractNumId w:val="12"/>
  </w:num>
  <w:num w:numId="15" w16cid:durableId="1730609832">
    <w:abstractNumId w:val="16"/>
  </w:num>
  <w:num w:numId="16" w16cid:durableId="112749411">
    <w:abstractNumId w:val="21"/>
  </w:num>
  <w:num w:numId="17" w16cid:durableId="1357462592">
    <w:abstractNumId w:val="17"/>
  </w:num>
  <w:num w:numId="18" w16cid:durableId="349600245">
    <w:abstractNumId w:val="10"/>
  </w:num>
  <w:num w:numId="19" w16cid:durableId="643235861">
    <w:abstractNumId w:val="25"/>
  </w:num>
  <w:num w:numId="20" w16cid:durableId="1127695406">
    <w:abstractNumId w:val="20"/>
  </w:num>
  <w:num w:numId="21" w16cid:durableId="1903827721">
    <w:abstractNumId w:val="3"/>
  </w:num>
  <w:num w:numId="22" w16cid:durableId="271328826">
    <w:abstractNumId w:val="15"/>
  </w:num>
  <w:num w:numId="23" w16cid:durableId="9382991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627905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20038704">
    <w:abstractNumId w:val="2"/>
  </w:num>
  <w:num w:numId="26" w16cid:durableId="16695992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9753382">
    <w:abstractNumId w:val="2"/>
  </w:num>
  <w:num w:numId="28" w16cid:durableId="1532263869">
    <w:abstractNumId w:val="2"/>
  </w:num>
  <w:num w:numId="29" w16cid:durableId="1155343770">
    <w:abstractNumId w:val="2"/>
  </w:num>
  <w:num w:numId="30" w16cid:durableId="547183732">
    <w:abstractNumId w:val="2"/>
  </w:num>
  <w:num w:numId="31" w16cid:durableId="1311210015">
    <w:abstractNumId w:val="27"/>
  </w:num>
  <w:num w:numId="32" w16cid:durableId="203178308">
    <w:abstractNumId w:val="24"/>
  </w:num>
  <w:num w:numId="33" w16cid:durableId="501507517">
    <w:abstractNumId w:val="13"/>
  </w:num>
  <w:num w:numId="34" w16cid:durableId="1075130153">
    <w:abstractNumId w:val="6"/>
  </w:num>
  <w:num w:numId="35" w16cid:durableId="2095319741">
    <w:abstractNumId w:val="7"/>
  </w:num>
  <w:num w:numId="36" w16cid:durableId="789321427">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9A"/>
    <w:rsid w:val="000010D3"/>
    <w:rsid w:val="0000151A"/>
    <w:rsid w:val="00001B23"/>
    <w:rsid w:val="00003028"/>
    <w:rsid w:val="00003BB4"/>
    <w:rsid w:val="00004351"/>
    <w:rsid w:val="00004677"/>
    <w:rsid w:val="00004FF4"/>
    <w:rsid w:val="00006DA5"/>
    <w:rsid w:val="0001137E"/>
    <w:rsid w:val="00011709"/>
    <w:rsid w:val="00012319"/>
    <w:rsid w:val="000127E5"/>
    <w:rsid w:val="00012B24"/>
    <w:rsid w:val="00013720"/>
    <w:rsid w:val="000142DE"/>
    <w:rsid w:val="000158A3"/>
    <w:rsid w:val="0001594B"/>
    <w:rsid w:val="00015C1C"/>
    <w:rsid w:val="0001760D"/>
    <w:rsid w:val="00020635"/>
    <w:rsid w:val="000207A8"/>
    <w:rsid w:val="00020877"/>
    <w:rsid w:val="00020F37"/>
    <w:rsid w:val="00021149"/>
    <w:rsid w:val="00022EC2"/>
    <w:rsid w:val="00022F71"/>
    <w:rsid w:val="0002369B"/>
    <w:rsid w:val="00023790"/>
    <w:rsid w:val="00024028"/>
    <w:rsid w:val="0002448A"/>
    <w:rsid w:val="000246FC"/>
    <w:rsid w:val="000250FE"/>
    <w:rsid w:val="0002549A"/>
    <w:rsid w:val="00027C38"/>
    <w:rsid w:val="00030260"/>
    <w:rsid w:val="000307AE"/>
    <w:rsid w:val="000311DD"/>
    <w:rsid w:val="00031528"/>
    <w:rsid w:val="00033786"/>
    <w:rsid w:val="00033B2D"/>
    <w:rsid w:val="00033B4A"/>
    <w:rsid w:val="00033BB6"/>
    <w:rsid w:val="00034389"/>
    <w:rsid w:val="00034A61"/>
    <w:rsid w:val="00035609"/>
    <w:rsid w:val="00035A58"/>
    <w:rsid w:val="00035E8F"/>
    <w:rsid w:val="000360D3"/>
    <w:rsid w:val="00036A35"/>
    <w:rsid w:val="00037885"/>
    <w:rsid w:val="00037D7C"/>
    <w:rsid w:val="00041E00"/>
    <w:rsid w:val="00042342"/>
    <w:rsid w:val="000426E1"/>
    <w:rsid w:val="00042F15"/>
    <w:rsid w:val="000431BE"/>
    <w:rsid w:val="000436D1"/>
    <w:rsid w:val="000440C5"/>
    <w:rsid w:val="0004470F"/>
    <w:rsid w:val="00044A27"/>
    <w:rsid w:val="00044E62"/>
    <w:rsid w:val="00045A8A"/>
    <w:rsid w:val="00045CB4"/>
    <w:rsid w:val="0004785D"/>
    <w:rsid w:val="00050C67"/>
    <w:rsid w:val="00050CAA"/>
    <w:rsid w:val="000512BB"/>
    <w:rsid w:val="00051519"/>
    <w:rsid w:val="0005176E"/>
    <w:rsid w:val="00051773"/>
    <w:rsid w:val="000522FA"/>
    <w:rsid w:val="000523EE"/>
    <w:rsid w:val="000529F7"/>
    <w:rsid w:val="00052D77"/>
    <w:rsid w:val="00052FCF"/>
    <w:rsid w:val="00053FA2"/>
    <w:rsid w:val="000541D2"/>
    <w:rsid w:val="00054955"/>
    <w:rsid w:val="00054A43"/>
    <w:rsid w:val="0005636C"/>
    <w:rsid w:val="0005677D"/>
    <w:rsid w:val="00057CC0"/>
    <w:rsid w:val="000605EA"/>
    <w:rsid w:val="000621C2"/>
    <w:rsid w:val="00062B52"/>
    <w:rsid w:val="00063158"/>
    <w:rsid w:val="00063636"/>
    <w:rsid w:val="000641AA"/>
    <w:rsid w:val="0006423F"/>
    <w:rsid w:val="000642F6"/>
    <w:rsid w:val="000647AE"/>
    <w:rsid w:val="00064867"/>
    <w:rsid w:val="000673BF"/>
    <w:rsid w:val="00067C07"/>
    <w:rsid w:val="00070F24"/>
    <w:rsid w:val="00071FE6"/>
    <w:rsid w:val="00072550"/>
    <w:rsid w:val="000726F0"/>
    <w:rsid w:val="00072797"/>
    <w:rsid w:val="000731F1"/>
    <w:rsid w:val="00073264"/>
    <w:rsid w:val="00074C1F"/>
    <w:rsid w:val="0007506C"/>
    <w:rsid w:val="000763AD"/>
    <w:rsid w:val="00076BF1"/>
    <w:rsid w:val="00076D49"/>
    <w:rsid w:val="00077548"/>
    <w:rsid w:val="00077F10"/>
    <w:rsid w:val="000804A3"/>
    <w:rsid w:val="000811F0"/>
    <w:rsid w:val="0008145B"/>
    <w:rsid w:val="000823A0"/>
    <w:rsid w:val="0008290B"/>
    <w:rsid w:val="00082F3B"/>
    <w:rsid w:val="000830D8"/>
    <w:rsid w:val="000838EA"/>
    <w:rsid w:val="00083CC5"/>
    <w:rsid w:val="0008543C"/>
    <w:rsid w:val="00085C75"/>
    <w:rsid w:val="00085CE8"/>
    <w:rsid w:val="00086ECF"/>
    <w:rsid w:val="000874B5"/>
    <w:rsid w:val="00087BBA"/>
    <w:rsid w:val="000913F9"/>
    <w:rsid w:val="00091F5B"/>
    <w:rsid w:val="00092E10"/>
    <w:rsid w:val="000934A3"/>
    <w:rsid w:val="000936FE"/>
    <w:rsid w:val="00093F9B"/>
    <w:rsid w:val="00094BDF"/>
    <w:rsid w:val="00094E27"/>
    <w:rsid w:val="00094F04"/>
    <w:rsid w:val="0009535D"/>
    <w:rsid w:val="0009722E"/>
    <w:rsid w:val="000977EA"/>
    <w:rsid w:val="000A0670"/>
    <w:rsid w:val="000A0B51"/>
    <w:rsid w:val="000A117B"/>
    <w:rsid w:val="000A16A4"/>
    <w:rsid w:val="000A177C"/>
    <w:rsid w:val="000A276B"/>
    <w:rsid w:val="000A4871"/>
    <w:rsid w:val="000A5430"/>
    <w:rsid w:val="000A578E"/>
    <w:rsid w:val="000A580F"/>
    <w:rsid w:val="000A69BF"/>
    <w:rsid w:val="000A6BAF"/>
    <w:rsid w:val="000A6CA5"/>
    <w:rsid w:val="000A71D8"/>
    <w:rsid w:val="000A7AB8"/>
    <w:rsid w:val="000B0F0A"/>
    <w:rsid w:val="000B13C6"/>
    <w:rsid w:val="000B2848"/>
    <w:rsid w:val="000B3713"/>
    <w:rsid w:val="000B7246"/>
    <w:rsid w:val="000B753F"/>
    <w:rsid w:val="000C0ADF"/>
    <w:rsid w:val="000C2054"/>
    <w:rsid w:val="000C2687"/>
    <w:rsid w:val="000C27A0"/>
    <w:rsid w:val="000C296E"/>
    <w:rsid w:val="000C3447"/>
    <w:rsid w:val="000C471A"/>
    <w:rsid w:val="000C4F32"/>
    <w:rsid w:val="000C507F"/>
    <w:rsid w:val="000C59DD"/>
    <w:rsid w:val="000C634C"/>
    <w:rsid w:val="000C63E0"/>
    <w:rsid w:val="000C65AE"/>
    <w:rsid w:val="000C6609"/>
    <w:rsid w:val="000C6844"/>
    <w:rsid w:val="000C6D10"/>
    <w:rsid w:val="000C6EB7"/>
    <w:rsid w:val="000C71EB"/>
    <w:rsid w:val="000C74BF"/>
    <w:rsid w:val="000C7B73"/>
    <w:rsid w:val="000D24D9"/>
    <w:rsid w:val="000D364F"/>
    <w:rsid w:val="000D37B4"/>
    <w:rsid w:val="000D63B4"/>
    <w:rsid w:val="000E0695"/>
    <w:rsid w:val="000E2C57"/>
    <w:rsid w:val="000E62EB"/>
    <w:rsid w:val="000E69A6"/>
    <w:rsid w:val="000F16B1"/>
    <w:rsid w:val="000F1882"/>
    <w:rsid w:val="000F3A60"/>
    <w:rsid w:val="000F441E"/>
    <w:rsid w:val="000F4AC6"/>
    <w:rsid w:val="000F5F05"/>
    <w:rsid w:val="000F668D"/>
    <w:rsid w:val="00100400"/>
    <w:rsid w:val="0010127A"/>
    <w:rsid w:val="0010268B"/>
    <w:rsid w:val="001037CE"/>
    <w:rsid w:val="00103A58"/>
    <w:rsid w:val="00103DF5"/>
    <w:rsid w:val="0010623C"/>
    <w:rsid w:val="00106AEE"/>
    <w:rsid w:val="00107A01"/>
    <w:rsid w:val="00107D9A"/>
    <w:rsid w:val="0011109E"/>
    <w:rsid w:val="001128C4"/>
    <w:rsid w:val="00112D17"/>
    <w:rsid w:val="001139C3"/>
    <w:rsid w:val="00114215"/>
    <w:rsid w:val="00114574"/>
    <w:rsid w:val="00115924"/>
    <w:rsid w:val="00115C55"/>
    <w:rsid w:val="00115F1F"/>
    <w:rsid w:val="00116A27"/>
    <w:rsid w:val="00116F6B"/>
    <w:rsid w:val="00120042"/>
    <w:rsid w:val="00120379"/>
    <w:rsid w:val="001206E2"/>
    <w:rsid w:val="001206F4"/>
    <w:rsid w:val="00120AF2"/>
    <w:rsid w:val="0012324C"/>
    <w:rsid w:val="0012334C"/>
    <w:rsid w:val="001236AD"/>
    <w:rsid w:val="00123C67"/>
    <w:rsid w:val="00124E86"/>
    <w:rsid w:val="00125682"/>
    <w:rsid w:val="00125D7F"/>
    <w:rsid w:val="0012684F"/>
    <w:rsid w:val="00126C4A"/>
    <w:rsid w:val="00127350"/>
    <w:rsid w:val="00127E61"/>
    <w:rsid w:val="00130B62"/>
    <w:rsid w:val="00130C3D"/>
    <w:rsid w:val="00130F0F"/>
    <w:rsid w:val="00131239"/>
    <w:rsid w:val="0013128E"/>
    <w:rsid w:val="0013236E"/>
    <w:rsid w:val="00133293"/>
    <w:rsid w:val="00133552"/>
    <w:rsid w:val="00134A18"/>
    <w:rsid w:val="00134B26"/>
    <w:rsid w:val="001350D2"/>
    <w:rsid w:val="00135138"/>
    <w:rsid w:val="0013578E"/>
    <w:rsid w:val="001357E4"/>
    <w:rsid w:val="00135DAC"/>
    <w:rsid w:val="0013645A"/>
    <w:rsid w:val="001365F0"/>
    <w:rsid w:val="00136CE4"/>
    <w:rsid w:val="00136D0E"/>
    <w:rsid w:val="001375E6"/>
    <w:rsid w:val="00137C38"/>
    <w:rsid w:val="001402C5"/>
    <w:rsid w:val="00140794"/>
    <w:rsid w:val="0014141E"/>
    <w:rsid w:val="001422FE"/>
    <w:rsid w:val="00142A17"/>
    <w:rsid w:val="00143E79"/>
    <w:rsid w:val="00144BF6"/>
    <w:rsid w:val="00145BFF"/>
    <w:rsid w:val="0015026E"/>
    <w:rsid w:val="00151C69"/>
    <w:rsid w:val="00151E66"/>
    <w:rsid w:val="00152718"/>
    <w:rsid w:val="001529AF"/>
    <w:rsid w:val="00152A18"/>
    <w:rsid w:val="0015389B"/>
    <w:rsid w:val="00153C1F"/>
    <w:rsid w:val="00154EC0"/>
    <w:rsid w:val="00155212"/>
    <w:rsid w:val="00157B63"/>
    <w:rsid w:val="00160163"/>
    <w:rsid w:val="0016028D"/>
    <w:rsid w:val="001610F5"/>
    <w:rsid w:val="00161B6D"/>
    <w:rsid w:val="00161F7A"/>
    <w:rsid w:val="00162054"/>
    <w:rsid w:val="001620F8"/>
    <w:rsid w:val="00162FB4"/>
    <w:rsid w:val="001641F5"/>
    <w:rsid w:val="001642EF"/>
    <w:rsid w:val="0016495B"/>
    <w:rsid w:val="00165498"/>
    <w:rsid w:val="00165BD0"/>
    <w:rsid w:val="00165E05"/>
    <w:rsid w:val="0016609D"/>
    <w:rsid w:val="001662D4"/>
    <w:rsid w:val="00167879"/>
    <w:rsid w:val="00170C39"/>
    <w:rsid w:val="00170F77"/>
    <w:rsid w:val="00171435"/>
    <w:rsid w:val="00173FD4"/>
    <w:rsid w:val="00175487"/>
    <w:rsid w:val="001766BF"/>
    <w:rsid w:val="00177041"/>
    <w:rsid w:val="001771ED"/>
    <w:rsid w:val="00177566"/>
    <w:rsid w:val="00177AA7"/>
    <w:rsid w:val="00180A5D"/>
    <w:rsid w:val="00181ADD"/>
    <w:rsid w:val="00181BB7"/>
    <w:rsid w:val="0018200A"/>
    <w:rsid w:val="00183475"/>
    <w:rsid w:val="00183C02"/>
    <w:rsid w:val="00186187"/>
    <w:rsid w:val="00186D36"/>
    <w:rsid w:val="001906A4"/>
    <w:rsid w:val="0019265C"/>
    <w:rsid w:val="0019269B"/>
    <w:rsid w:val="00192841"/>
    <w:rsid w:val="0019349C"/>
    <w:rsid w:val="0019372C"/>
    <w:rsid w:val="00194181"/>
    <w:rsid w:val="001942C4"/>
    <w:rsid w:val="00194359"/>
    <w:rsid w:val="00195048"/>
    <w:rsid w:val="00195C75"/>
    <w:rsid w:val="0019736F"/>
    <w:rsid w:val="001A0BEB"/>
    <w:rsid w:val="001A176D"/>
    <w:rsid w:val="001A2F50"/>
    <w:rsid w:val="001A3846"/>
    <w:rsid w:val="001A43E5"/>
    <w:rsid w:val="001A4866"/>
    <w:rsid w:val="001A4DBF"/>
    <w:rsid w:val="001A540F"/>
    <w:rsid w:val="001A5760"/>
    <w:rsid w:val="001A5FE4"/>
    <w:rsid w:val="001A6564"/>
    <w:rsid w:val="001A659D"/>
    <w:rsid w:val="001A7BA9"/>
    <w:rsid w:val="001B1517"/>
    <w:rsid w:val="001B161E"/>
    <w:rsid w:val="001B23B5"/>
    <w:rsid w:val="001B2A14"/>
    <w:rsid w:val="001B2B25"/>
    <w:rsid w:val="001B3779"/>
    <w:rsid w:val="001B6183"/>
    <w:rsid w:val="001B67B2"/>
    <w:rsid w:val="001B69FB"/>
    <w:rsid w:val="001B6AA2"/>
    <w:rsid w:val="001B6DF1"/>
    <w:rsid w:val="001B7E65"/>
    <w:rsid w:val="001C092C"/>
    <w:rsid w:val="001C2924"/>
    <w:rsid w:val="001C292B"/>
    <w:rsid w:val="001C4533"/>
    <w:rsid w:val="001C45BE"/>
    <w:rsid w:val="001C4DC1"/>
    <w:rsid w:val="001C5B8C"/>
    <w:rsid w:val="001C6503"/>
    <w:rsid w:val="001C68D0"/>
    <w:rsid w:val="001C6DDB"/>
    <w:rsid w:val="001C7209"/>
    <w:rsid w:val="001D0163"/>
    <w:rsid w:val="001D0660"/>
    <w:rsid w:val="001D0D29"/>
    <w:rsid w:val="001D1B39"/>
    <w:rsid w:val="001D28AA"/>
    <w:rsid w:val="001D2926"/>
    <w:rsid w:val="001D3523"/>
    <w:rsid w:val="001D3895"/>
    <w:rsid w:val="001D3F77"/>
    <w:rsid w:val="001D47F9"/>
    <w:rsid w:val="001D4E3B"/>
    <w:rsid w:val="001D4FD2"/>
    <w:rsid w:val="001D574B"/>
    <w:rsid w:val="001D6CD3"/>
    <w:rsid w:val="001D7D74"/>
    <w:rsid w:val="001D7E7D"/>
    <w:rsid w:val="001E0479"/>
    <w:rsid w:val="001E0EC5"/>
    <w:rsid w:val="001E150C"/>
    <w:rsid w:val="001E1AA9"/>
    <w:rsid w:val="001E4B14"/>
    <w:rsid w:val="001E4F4D"/>
    <w:rsid w:val="001F0C34"/>
    <w:rsid w:val="001F14FD"/>
    <w:rsid w:val="001F2CE1"/>
    <w:rsid w:val="001F4CF9"/>
    <w:rsid w:val="001F73B8"/>
    <w:rsid w:val="001F761D"/>
    <w:rsid w:val="00201B05"/>
    <w:rsid w:val="00201DC5"/>
    <w:rsid w:val="0020229F"/>
    <w:rsid w:val="002023A7"/>
    <w:rsid w:val="002023CB"/>
    <w:rsid w:val="002024C9"/>
    <w:rsid w:val="0020292F"/>
    <w:rsid w:val="002036EC"/>
    <w:rsid w:val="0020380C"/>
    <w:rsid w:val="00204D8E"/>
    <w:rsid w:val="00205399"/>
    <w:rsid w:val="002060C0"/>
    <w:rsid w:val="00206196"/>
    <w:rsid w:val="00206933"/>
    <w:rsid w:val="002069E3"/>
    <w:rsid w:val="00206A94"/>
    <w:rsid w:val="00206F68"/>
    <w:rsid w:val="00207602"/>
    <w:rsid w:val="002078AD"/>
    <w:rsid w:val="00207942"/>
    <w:rsid w:val="00207F8D"/>
    <w:rsid w:val="002118E7"/>
    <w:rsid w:val="0021404A"/>
    <w:rsid w:val="00214E51"/>
    <w:rsid w:val="00215399"/>
    <w:rsid w:val="00215685"/>
    <w:rsid w:val="002165AF"/>
    <w:rsid w:val="002171FE"/>
    <w:rsid w:val="002178FE"/>
    <w:rsid w:val="00217C7F"/>
    <w:rsid w:val="0022029E"/>
    <w:rsid w:val="0022090E"/>
    <w:rsid w:val="0022441F"/>
    <w:rsid w:val="002249EB"/>
    <w:rsid w:val="00224DA3"/>
    <w:rsid w:val="0022550D"/>
    <w:rsid w:val="002261DA"/>
    <w:rsid w:val="00230C1D"/>
    <w:rsid w:val="00230E49"/>
    <w:rsid w:val="002315D0"/>
    <w:rsid w:val="00231D25"/>
    <w:rsid w:val="002334AF"/>
    <w:rsid w:val="002337A4"/>
    <w:rsid w:val="00233B13"/>
    <w:rsid w:val="002354C2"/>
    <w:rsid w:val="00236317"/>
    <w:rsid w:val="00236805"/>
    <w:rsid w:val="0023733E"/>
    <w:rsid w:val="00237598"/>
    <w:rsid w:val="002404E3"/>
    <w:rsid w:val="002410DC"/>
    <w:rsid w:val="00241E07"/>
    <w:rsid w:val="0024299D"/>
    <w:rsid w:val="00243772"/>
    <w:rsid w:val="002437FE"/>
    <w:rsid w:val="0024405E"/>
    <w:rsid w:val="002440DD"/>
    <w:rsid w:val="002446C1"/>
    <w:rsid w:val="0024482B"/>
    <w:rsid w:val="0024495D"/>
    <w:rsid w:val="00244B4E"/>
    <w:rsid w:val="00244FC7"/>
    <w:rsid w:val="002457A7"/>
    <w:rsid w:val="0024637B"/>
    <w:rsid w:val="00247EAF"/>
    <w:rsid w:val="0025058C"/>
    <w:rsid w:val="00250D9B"/>
    <w:rsid w:val="00251FCD"/>
    <w:rsid w:val="002526A7"/>
    <w:rsid w:val="00253752"/>
    <w:rsid w:val="00253FE8"/>
    <w:rsid w:val="0025458D"/>
    <w:rsid w:val="0026173E"/>
    <w:rsid w:val="00262BB1"/>
    <w:rsid w:val="00262BBF"/>
    <w:rsid w:val="002637BE"/>
    <w:rsid w:val="00267009"/>
    <w:rsid w:val="00270C12"/>
    <w:rsid w:val="002713E2"/>
    <w:rsid w:val="00271646"/>
    <w:rsid w:val="002724C3"/>
    <w:rsid w:val="00274232"/>
    <w:rsid w:val="00274FFD"/>
    <w:rsid w:val="002762A4"/>
    <w:rsid w:val="00276435"/>
    <w:rsid w:val="002765D5"/>
    <w:rsid w:val="0027675D"/>
    <w:rsid w:val="002767E3"/>
    <w:rsid w:val="0027732B"/>
    <w:rsid w:val="00280327"/>
    <w:rsid w:val="00280553"/>
    <w:rsid w:val="002805C2"/>
    <w:rsid w:val="0028062C"/>
    <w:rsid w:val="002810F4"/>
    <w:rsid w:val="0028137C"/>
    <w:rsid w:val="002824FE"/>
    <w:rsid w:val="00282730"/>
    <w:rsid w:val="00283A63"/>
    <w:rsid w:val="00284B0D"/>
    <w:rsid w:val="00284E9F"/>
    <w:rsid w:val="00284FB6"/>
    <w:rsid w:val="0028618D"/>
    <w:rsid w:val="00286636"/>
    <w:rsid w:val="00287E74"/>
    <w:rsid w:val="00287ECC"/>
    <w:rsid w:val="00290007"/>
    <w:rsid w:val="00291CE0"/>
    <w:rsid w:val="00291FF6"/>
    <w:rsid w:val="0029229A"/>
    <w:rsid w:val="0029270D"/>
    <w:rsid w:val="0029305F"/>
    <w:rsid w:val="00293B84"/>
    <w:rsid w:val="00294236"/>
    <w:rsid w:val="00294EA5"/>
    <w:rsid w:val="0029594E"/>
    <w:rsid w:val="00295E6E"/>
    <w:rsid w:val="00296276"/>
    <w:rsid w:val="0029642A"/>
    <w:rsid w:val="002971BD"/>
    <w:rsid w:val="00297553"/>
    <w:rsid w:val="002975AE"/>
    <w:rsid w:val="00297B44"/>
    <w:rsid w:val="002A01F7"/>
    <w:rsid w:val="002A063A"/>
    <w:rsid w:val="002A0723"/>
    <w:rsid w:val="002A0F31"/>
    <w:rsid w:val="002A138B"/>
    <w:rsid w:val="002A1EB8"/>
    <w:rsid w:val="002A23BD"/>
    <w:rsid w:val="002A2D59"/>
    <w:rsid w:val="002A4326"/>
    <w:rsid w:val="002A57C5"/>
    <w:rsid w:val="002A638B"/>
    <w:rsid w:val="002A6392"/>
    <w:rsid w:val="002A7530"/>
    <w:rsid w:val="002A7D24"/>
    <w:rsid w:val="002B0460"/>
    <w:rsid w:val="002B3A26"/>
    <w:rsid w:val="002B3E2C"/>
    <w:rsid w:val="002B42AD"/>
    <w:rsid w:val="002B470E"/>
    <w:rsid w:val="002B4748"/>
    <w:rsid w:val="002B4C21"/>
    <w:rsid w:val="002B51CA"/>
    <w:rsid w:val="002B552D"/>
    <w:rsid w:val="002B6AD1"/>
    <w:rsid w:val="002B7DE0"/>
    <w:rsid w:val="002C1498"/>
    <w:rsid w:val="002C24F4"/>
    <w:rsid w:val="002C29C3"/>
    <w:rsid w:val="002C5AC7"/>
    <w:rsid w:val="002C6F8E"/>
    <w:rsid w:val="002C72F1"/>
    <w:rsid w:val="002C7F87"/>
    <w:rsid w:val="002D07B1"/>
    <w:rsid w:val="002D0ED9"/>
    <w:rsid w:val="002D1A4A"/>
    <w:rsid w:val="002D1D63"/>
    <w:rsid w:val="002D28E8"/>
    <w:rsid w:val="002D2C40"/>
    <w:rsid w:val="002D2E87"/>
    <w:rsid w:val="002D3049"/>
    <w:rsid w:val="002D37F6"/>
    <w:rsid w:val="002D384F"/>
    <w:rsid w:val="002D4516"/>
    <w:rsid w:val="002D48FD"/>
    <w:rsid w:val="002D4E24"/>
    <w:rsid w:val="002D5AED"/>
    <w:rsid w:val="002D5CF9"/>
    <w:rsid w:val="002D620D"/>
    <w:rsid w:val="002D66BB"/>
    <w:rsid w:val="002D6791"/>
    <w:rsid w:val="002E09B3"/>
    <w:rsid w:val="002E33D9"/>
    <w:rsid w:val="002E55E4"/>
    <w:rsid w:val="002E7ADA"/>
    <w:rsid w:val="002E7E83"/>
    <w:rsid w:val="002F1FA1"/>
    <w:rsid w:val="002F20DD"/>
    <w:rsid w:val="002F295A"/>
    <w:rsid w:val="002F2D6C"/>
    <w:rsid w:val="002F2F3B"/>
    <w:rsid w:val="002F36B8"/>
    <w:rsid w:val="002F51F3"/>
    <w:rsid w:val="002F7963"/>
    <w:rsid w:val="002F7E8E"/>
    <w:rsid w:val="00300182"/>
    <w:rsid w:val="00300FBD"/>
    <w:rsid w:val="00302575"/>
    <w:rsid w:val="00302990"/>
    <w:rsid w:val="00302B2E"/>
    <w:rsid w:val="00303BE7"/>
    <w:rsid w:val="003044D1"/>
    <w:rsid w:val="003066A9"/>
    <w:rsid w:val="00306846"/>
    <w:rsid w:val="00306AF3"/>
    <w:rsid w:val="0030772C"/>
    <w:rsid w:val="00307AA0"/>
    <w:rsid w:val="00310B03"/>
    <w:rsid w:val="00310D73"/>
    <w:rsid w:val="003117AE"/>
    <w:rsid w:val="00311869"/>
    <w:rsid w:val="003118B3"/>
    <w:rsid w:val="00311B22"/>
    <w:rsid w:val="003127D3"/>
    <w:rsid w:val="00313B0D"/>
    <w:rsid w:val="00314013"/>
    <w:rsid w:val="00314E6D"/>
    <w:rsid w:val="00315167"/>
    <w:rsid w:val="003153EE"/>
    <w:rsid w:val="00316909"/>
    <w:rsid w:val="00317426"/>
    <w:rsid w:val="0031755C"/>
    <w:rsid w:val="003204AA"/>
    <w:rsid w:val="00320AF2"/>
    <w:rsid w:val="00320C4F"/>
    <w:rsid w:val="003219EB"/>
    <w:rsid w:val="0032207D"/>
    <w:rsid w:val="0032291A"/>
    <w:rsid w:val="00323066"/>
    <w:rsid w:val="00323133"/>
    <w:rsid w:val="00323969"/>
    <w:rsid w:val="00324000"/>
    <w:rsid w:val="003242A6"/>
    <w:rsid w:val="003248E9"/>
    <w:rsid w:val="0032573F"/>
    <w:rsid w:val="0032625B"/>
    <w:rsid w:val="003266A6"/>
    <w:rsid w:val="003272B9"/>
    <w:rsid w:val="003275F6"/>
    <w:rsid w:val="003278E4"/>
    <w:rsid w:val="00327922"/>
    <w:rsid w:val="0033031C"/>
    <w:rsid w:val="00330D0A"/>
    <w:rsid w:val="0033193C"/>
    <w:rsid w:val="003352F0"/>
    <w:rsid w:val="003354D3"/>
    <w:rsid w:val="00337173"/>
    <w:rsid w:val="003371E5"/>
    <w:rsid w:val="00337242"/>
    <w:rsid w:val="00337551"/>
    <w:rsid w:val="00337BBA"/>
    <w:rsid w:val="00337E8C"/>
    <w:rsid w:val="003403DF"/>
    <w:rsid w:val="003404C0"/>
    <w:rsid w:val="00340FFD"/>
    <w:rsid w:val="0034175A"/>
    <w:rsid w:val="00341881"/>
    <w:rsid w:val="00341D1C"/>
    <w:rsid w:val="00342031"/>
    <w:rsid w:val="00342E3A"/>
    <w:rsid w:val="00344FDA"/>
    <w:rsid w:val="00345246"/>
    <w:rsid w:val="0034524B"/>
    <w:rsid w:val="00345FBC"/>
    <w:rsid w:val="003473C6"/>
    <w:rsid w:val="003500A6"/>
    <w:rsid w:val="0035291A"/>
    <w:rsid w:val="003529EC"/>
    <w:rsid w:val="003530C3"/>
    <w:rsid w:val="0035616A"/>
    <w:rsid w:val="00357000"/>
    <w:rsid w:val="0035722B"/>
    <w:rsid w:val="0035734A"/>
    <w:rsid w:val="0036016A"/>
    <w:rsid w:val="00360E7D"/>
    <w:rsid w:val="00361518"/>
    <w:rsid w:val="00361C29"/>
    <w:rsid w:val="00362931"/>
    <w:rsid w:val="00363742"/>
    <w:rsid w:val="0036396F"/>
    <w:rsid w:val="00363E0C"/>
    <w:rsid w:val="0036433C"/>
    <w:rsid w:val="00364B7E"/>
    <w:rsid w:val="0036551A"/>
    <w:rsid w:val="00365E48"/>
    <w:rsid w:val="003665FC"/>
    <w:rsid w:val="00366A09"/>
    <w:rsid w:val="00367325"/>
    <w:rsid w:val="003674E3"/>
    <w:rsid w:val="00367B78"/>
    <w:rsid w:val="00370352"/>
    <w:rsid w:val="0037093F"/>
    <w:rsid w:val="0037195A"/>
    <w:rsid w:val="00372D2D"/>
    <w:rsid w:val="00372D5A"/>
    <w:rsid w:val="003731DB"/>
    <w:rsid w:val="003736A3"/>
    <w:rsid w:val="003750D7"/>
    <w:rsid w:val="0037586B"/>
    <w:rsid w:val="00375E51"/>
    <w:rsid w:val="00376E4C"/>
    <w:rsid w:val="00377819"/>
    <w:rsid w:val="00380669"/>
    <w:rsid w:val="00380F37"/>
    <w:rsid w:val="003812CB"/>
    <w:rsid w:val="00381470"/>
    <w:rsid w:val="00381A9C"/>
    <w:rsid w:val="003821D5"/>
    <w:rsid w:val="0038240D"/>
    <w:rsid w:val="00382BC6"/>
    <w:rsid w:val="00382E74"/>
    <w:rsid w:val="00383D42"/>
    <w:rsid w:val="003847D8"/>
    <w:rsid w:val="00385371"/>
    <w:rsid w:val="00385590"/>
    <w:rsid w:val="00385E2A"/>
    <w:rsid w:val="00385F11"/>
    <w:rsid w:val="00385FA7"/>
    <w:rsid w:val="0038725A"/>
    <w:rsid w:val="00390930"/>
    <w:rsid w:val="00391E74"/>
    <w:rsid w:val="00392A17"/>
    <w:rsid w:val="00392F87"/>
    <w:rsid w:val="0039322B"/>
    <w:rsid w:val="00394555"/>
    <w:rsid w:val="003948FC"/>
    <w:rsid w:val="00396DC7"/>
    <w:rsid w:val="0039776C"/>
    <w:rsid w:val="003A27F1"/>
    <w:rsid w:val="003A2BE7"/>
    <w:rsid w:val="003A39D8"/>
    <w:rsid w:val="003A41E8"/>
    <w:rsid w:val="003A4272"/>
    <w:rsid w:val="003A43E4"/>
    <w:rsid w:val="003A4BB1"/>
    <w:rsid w:val="003A5658"/>
    <w:rsid w:val="003A7D8C"/>
    <w:rsid w:val="003A7E48"/>
    <w:rsid w:val="003B00B3"/>
    <w:rsid w:val="003B0203"/>
    <w:rsid w:val="003B030D"/>
    <w:rsid w:val="003B0407"/>
    <w:rsid w:val="003B05E0"/>
    <w:rsid w:val="003B1E2D"/>
    <w:rsid w:val="003B2C7C"/>
    <w:rsid w:val="003B3EBE"/>
    <w:rsid w:val="003B4FB0"/>
    <w:rsid w:val="003B53C1"/>
    <w:rsid w:val="003B6304"/>
    <w:rsid w:val="003B6647"/>
    <w:rsid w:val="003B73BD"/>
    <w:rsid w:val="003B7B54"/>
    <w:rsid w:val="003C04D7"/>
    <w:rsid w:val="003C1646"/>
    <w:rsid w:val="003C4201"/>
    <w:rsid w:val="003C4A90"/>
    <w:rsid w:val="003C4F9A"/>
    <w:rsid w:val="003C5CB1"/>
    <w:rsid w:val="003D012A"/>
    <w:rsid w:val="003D0394"/>
    <w:rsid w:val="003D2242"/>
    <w:rsid w:val="003D2444"/>
    <w:rsid w:val="003D2C95"/>
    <w:rsid w:val="003D2E57"/>
    <w:rsid w:val="003D2E86"/>
    <w:rsid w:val="003D333D"/>
    <w:rsid w:val="003D39B7"/>
    <w:rsid w:val="003D4336"/>
    <w:rsid w:val="003D45B9"/>
    <w:rsid w:val="003D4E79"/>
    <w:rsid w:val="003D609C"/>
    <w:rsid w:val="003D6F80"/>
    <w:rsid w:val="003D70D8"/>
    <w:rsid w:val="003D7A2D"/>
    <w:rsid w:val="003E0465"/>
    <w:rsid w:val="003E128C"/>
    <w:rsid w:val="003E16D3"/>
    <w:rsid w:val="003E1E84"/>
    <w:rsid w:val="003E480C"/>
    <w:rsid w:val="003E56BC"/>
    <w:rsid w:val="003E5F20"/>
    <w:rsid w:val="003E6532"/>
    <w:rsid w:val="003E6D28"/>
    <w:rsid w:val="003E70CD"/>
    <w:rsid w:val="003E744B"/>
    <w:rsid w:val="003E78EF"/>
    <w:rsid w:val="003E7B41"/>
    <w:rsid w:val="003F03E9"/>
    <w:rsid w:val="003F0D99"/>
    <w:rsid w:val="003F2B42"/>
    <w:rsid w:val="003F5467"/>
    <w:rsid w:val="003F64F8"/>
    <w:rsid w:val="003F6C26"/>
    <w:rsid w:val="004000B7"/>
    <w:rsid w:val="00400631"/>
    <w:rsid w:val="00401539"/>
    <w:rsid w:val="0040262E"/>
    <w:rsid w:val="004026C7"/>
    <w:rsid w:val="00402DDB"/>
    <w:rsid w:val="00402EE9"/>
    <w:rsid w:val="00404A03"/>
    <w:rsid w:val="00404AA6"/>
    <w:rsid w:val="00405B26"/>
    <w:rsid w:val="00406327"/>
    <w:rsid w:val="00407026"/>
    <w:rsid w:val="00411117"/>
    <w:rsid w:val="00411472"/>
    <w:rsid w:val="0041238E"/>
    <w:rsid w:val="004127FC"/>
    <w:rsid w:val="004138CB"/>
    <w:rsid w:val="00414019"/>
    <w:rsid w:val="00414143"/>
    <w:rsid w:val="00414802"/>
    <w:rsid w:val="004149DE"/>
    <w:rsid w:val="00414B4A"/>
    <w:rsid w:val="004151DF"/>
    <w:rsid w:val="00415435"/>
    <w:rsid w:val="00415D71"/>
    <w:rsid w:val="00417196"/>
    <w:rsid w:val="0041761C"/>
    <w:rsid w:val="00417974"/>
    <w:rsid w:val="004211B4"/>
    <w:rsid w:val="0042161D"/>
    <w:rsid w:val="00422108"/>
    <w:rsid w:val="0042244E"/>
    <w:rsid w:val="004225B0"/>
    <w:rsid w:val="004229BF"/>
    <w:rsid w:val="0042427B"/>
    <w:rsid w:val="004245EA"/>
    <w:rsid w:val="00424D96"/>
    <w:rsid w:val="00424F45"/>
    <w:rsid w:val="004256FE"/>
    <w:rsid w:val="00425CE7"/>
    <w:rsid w:val="00425CF2"/>
    <w:rsid w:val="00426472"/>
    <w:rsid w:val="00427640"/>
    <w:rsid w:val="00430082"/>
    <w:rsid w:val="0043028A"/>
    <w:rsid w:val="00432FB2"/>
    <w:rsid w:val="00433934"/>
    <w:rsid w:val="0043485A"/>
    <w:rsid w:val="004355B4"/>
    <w:rsid w:val="00435F5D"/>
    <w:rsid w:val="00437153"/>
    <w:rsid w:val="004375D8"/>
    <w:rsid w:val="00437759"/>
    <w:rsid w:val="004411F7"/>
    <w:rsid w:val="00441A9A"/>
    <w:rsid w:val="00441BF5"/>
    <w:rsid w:val="00442005"/>
    <w:rsid w:val="00442062"/>
    <w:rsid w:val="00442781"/>
    <w:rsid w:val="0044297D"/>
    <w:rsid w:val="00442AC7"/>
    <w:rsid w:val="004455EB"/>
    <w:rsid w:val="004457B6"/>
    <w:rsid w:val="00446AC5"/>
    <w:rsid w:val="00446C59"/>
    <w:rsid w:val="00447073"/>
    <w:rsid w:val="004471A0"/>
    <w:rsid w:val="00447F64"/>
    <w:rsid w:val="00450371"/>
    <w:rsid w:val="00453506"/>
    <w:rsid w:val="00454B6E"/>
    <w:rsid w:val="004553CC"/>
    <w:rsid w:val="00455CE9"/>
    <w:rsid w:val="00455D2F"/>
    <w:rsid w:val="00456496"/>
    <w:rsid w:val="004576E4"/>
    <w:rsid w:val="00460482"/>
    <w:rsid w:val="00460D11"/>
    <w:rsid w:val="00461141"/>
    <w:rsid w:val="00461258"/>
    <w:rsid w:val="004629F4"/>
    <w:rsid w:val="0046361E"/>
    <w:rsid w:val="00463BB7"/>
    <w:rsid w:val="00464028"/>
    <w:rsid w:val="00464DE7"/>
    <w:rsid w:val="004656AC"/>
    <w:rsid w:val="00465AB1"/>
    <w:rsid w:val="00465C37"/>
    <w:rsid w:val="00465F77"/>
    <w:rsid w:val="0046686D"/>
    <w:rsid w:val="00467C0B"/>
    <w:rsid w:val="00470145"/>
    <w:rsid w:val="0047104E"/>
    <w:rsid w:val="0047350D"/>
    <w:rsid w:val="00473592"/>
    <w:rsid w:val="00473AC1"/>
    <w:rsid w:val="0047464F"/>
    <w:rsid w:val="00474A9E"/>
    <w:rsid w:val="00474BD4"/>
    <w:rsid w:val="0047530E"/>
    <w:rsid w:val="00476358"/>
    <w:rsid w:val="00477B32"/>
    <w:rsid w:val="00480443"/>
    <w:rsid w:val="00480D77"/>
    <w:rsid w:val="0048112D"/>
    <w:rsid w:val="004812BF"/>
    <w:rsid w:val="0048171B"/>
    <w:rsid w:val="00482C0C"/>
    <w:rsid w:val="00483617"/>
    <w:rsid w:val="00483E76"/>
    <w:rsid w:val="0048413A"/>
    <w:rsid w:val="00484752"/>
    <w:rsid w:val="0048565C"/>
    <w:rsid w:val="00486340"/>
    <w:rsid w:val="00486F56"/>
    <w:rsid w:val="004871EF"/>
    <w:rsid w:val="0049034C"/>
    <w:rsid w:val="00490E34"/>
    <w:rsid w:val="00491195"/>
    <w:rsid w:val="00491AF9"/>
    <w:rsid w:val="00492282"/>
    <w:rsid w:val="0049273F"/>
    <w:rsid w:val="00492C7D"/>
    <w:rsid w:val="00492DB8"/>
    <w:rsid w:val="00493322"/>
    <w:rsid w:val="00493642"/>
    <w:rsid w:val="00493817"/>
    <w:rsid w:val="004948CC"/>
    <w:rsid w:val="00494E4C"/>
    <w:rsid w:val="004953E7"/>
    <w:rsid w:val="00495524"/>
    <w:rsid w:val="00495883"/>
    <w:rsid w:val="00496298"/>
    <w:rsid w:val="00496E8A"/>
    <w:rsid w:val="004A015C"/>
    <w:rsid w:val="004A0AB6"/>
    <w:rsid w:val="004A22B4"/>
    <w:rsid w:val="004A2A62"/>
    <w:rsid w:val="004A3606"/>
    <w:rsid w:val="004A3E24"/>
    <w:rsid w:val="004A585E"/>
    <w:rsid w:val="004A589E"/>
    <w:rsid w:val="004A5A65"/>
    <w:rsid w:val="004A5E80"/>
    <w:rsid w:val="004A654D"/>
    <w:rsid w:val="004A6A41"/>
    <w:rsid w:val="004A768B"/>
    <w:rsid w:val="004B3F56"/>
    <w:rsid w:val="004B41F0"/>
    <w:rsid w:val="004B4D4A"/>
    <w:rsid w:val="004B54C7"/>
    <w:rsid w:val="004B593F"/>
    <w:rsid w:val="004B75FF"/>
    <w:rsid w:val="004B7A7D"/>
    <w:rsid w:val="004C2A46"/>
    <w:rsid w:val="004C32CE"/>
    <w:rsid w:val="004C33EB"/>
    <w:rsid w:val="004C3738"/>
    <w:rsid w:val="004C3C02"/>
    <w:rsid w:val="004C4540"/>
    <w:rsid w:val="004C4B97"/>
    <w:rsid w:val="004C5E65"/>
    <w:rsid w:val="004C6216"/>
    <w:rsid w:val="004C63A4"/>
    <w:rsid w:val="004C640E"/>
    <w:rsid w:val="004C66A0"/>
    <w:rsid w:val="004D24BB"/>
    <w:rsid w:val="004D298C"/>
    <w:rsid w:val="004D3794"/>
    <w:rsid w:val="004D3A41"/>
    <w:rsid w:val="004D4E91"/>
    <w:rsid w:val="004D5F2A"/>
    <w:rsid w:val="004D6BB9"/>
    <w:rsid w:val="004D75ED"/>
    <w:rsid w:val="004D79B9"/>
    <w:rsid w:val="004D7F80"/>
    <w:rsid w:val="004E17C7"/>
    <w:rsid w:val="004E1882"/>
    <w:rsid w:val="004E20ED"/>
    <w:rsid w:val="004E33ED"/>
    <w:rsid w:val="004E555C"/>
    <w:rsid w:val="004E5DA1"/>
    <w:rsid w:val="004E6B0E"/>
    <w:rsid w:val="004E718C"/>
    <w:rsid w:val="004E772C"/>
    <w:rsid w:val="004E7DCF"/>
    <w:rsid w:val="004E7F50"/>
    <w:rsid w:val="004F1258"/>
    <w:rsid w:val="004F1E51"/>
    <w:rsid w:val="004F2355"/>
    <w:rsid w:val="004F2565"/>
    <w:rsid w:val="004F40F6"/>
    <w:rsid w:val="004F4340"/>
    <w:rsid w:val="004F45AA"/>
    <w:rsid w:val="004F4FD5"/>
    <w:rsid w:val="004F6151"/>
    <w:rsid w:val="004F655F"/>
    <w:rsid w:val="004F6A6B"/>
    <w:rsid w:val="004F77F9"/>
    <w:rsid w:val="00500C46"/>
    <w:rsid w:val="00500F48"/>
    <w:rsid w:val="00501383"/>
    <w:rsid w:val="00501779"/>
    <w:rsid w:val="00502208"/>
    <w:rsid w:val="00502515"/>
    <w:rsid w:val="00502A4F"/>
    <w:rsid w:val="00503D1B"/>
    <w:rsid w:val="00504886"/>
    <w:rsid w:val="005055B3"/>
    <w:rsid w:val="00506764"/>
    <w:rsid w:val="0050799D"/>
    <w:rsid w:val="00507EBA"/>
    <w:rsid w:val="00510426"/>
    <w:rsid w:val="00511486"/>
    <w:rsid w:val="00511606"/>
    <w:rsid w:val="00512311"/>
    <w:rsid w:val="00512679"/>
    <w:rsid w:val="00513CC0"/>
    <w:rsid w:val="00513FD3"/>
    <w:rsid w:val="005156A0"/>
    <w:rsid w:val="005159D4"/>
    <w:rsid w:val="00515DDC"/>
    <w:rsid w:val="00517EF5"/>
    <w:rsid w:val="005205EC"/>
    <w:rsid w:val="0052105B"/>
    <w:rsid w:val="00522166"/>
    <w:rsid w:val="0052310E"/>
    <w:rsid w:val="00526047"/>
    <w:rsid w:val="005273E2"/>
    <w:rsid w:val="0052769C"/>
    <w:rsid w:val="005278F9"/>
    <w:rsid w:val="00527E30"/>
    <w:rsid w:val="005302A2"/>
    <w:rsid w:val="00531783"/>
    <w:rsid w:val="005319E4"/>
    <w:rsid w:val="00531C71"/>
    <w:rsid w:val="00532DFC"/>
    <w:rsid w:val="00532EEF"/>
    <w:rsid w:val="00533740"/>
    <w:rsid w:val="00533A7E"/>
    <w:rsid w:val="005343D3"/>
    <w:rsid w:val="00536E67"/>
    <w:rsid w:val="005407F3"/>
    <w:rsid w:val="00540BC2"/>
    <w:rsid w:val="00541B70"/>
    <w:rsid w:val="005421E7"/>
    <w:rsid w:val="005450B1"/>
    <w:rsid w:val="00546CD7"/>
    <w:rsid w:val="0054787C"/>
    <w:rsid w:val="005515E3"/>
    <w:rsid w:val="00552B70"/>
    <w:rsid w:val="00553C6B"/>
    <w:rsid w:val="00553F05"/>
    <w:rsid w:val="0055474D"/>
    <w:rsid w:val="00554969"/>
    <w:rsid w:val="00554D53"/>
    <w:rsid w:val="00554EEF"/>
    <w:rsid w:val="00554F25"/>
    <w:rsid w:val="00554F89"/>
    <w:rsid w:val="00556539"/>
    <w:rsid w:val="00556A07"/>
    <w:rsid w:val="005621A8"/>
    <w:rsid w:val="00562269"/>
    <w:rsid w:val="005657DD"/>
    <w:rsid w:val="00565C87"/>
    <w:rsid w:val="00565ED0"/>
    <w:rsid w:val="00565F09"/>
    <w:rsid w:val="00566C54"/>
    <w:rsid w:val="00566D58"/>
    <w:rsid w:val="00567165"/>
    <w:rsid w:val="0056764B"/>
    <w:rsid w:val="00567674"/>
    <w:rsid w:val="005703D4"/>
    <w:rsid w:val="005704A7"/>
    <w:rsid w:val="00570C3F"/>
    <w:rsid w:val="00571DEB"/>
    <w:rsid w:val="00571E1F"/>
    <w:rsid w:val="00572085"/>
    <w:rsid w:val="00572868"/>
    <w:rsid w:val="005743F3"/>
    <w:rsid w:val="00574D97"/>
    <w:rsid w:val="0057534D"/>
    <w:rsid w:val="0057590D"/>
    <w:rsid w:val="00576227"/>
    <w:rsid w:val="00577BCC"/>
    <w:rsid w:val="005809DE"/>
    <w:rsid w:val="00580F54"/>
    <w:rsid w:val="00581A74"/>
    <w:rsid w:val="00581AB7"/>
    <w:rsid w:val="005826F5"/>
    <w:rsid w:val="0058410E"/>
    <w:rsid w:val="00584362"/>
    <w:rsid w:val="00585307"/>
    <w:rsid w:val="00585CC1"/>
    <w:rsid w:val="005869A3"/>
    <w:rsid w:val="00590AF6"/>
    <w:rsid w:val="00591DBD"/>
    <w:rsid w:val="0059233B"/>
    <w:rsid w:val="0059401A"/>
    <w:rsid w:val="00595980"/>
    <w:rsid w:val="005965A3"/>
    <w:rsid w:val="0059676A"/>
    <w:rsid w:val="005A0DDA"/>
    <w:rsid w:val="005A1E7D"/>
    <w:rsid w:val="005A50E4"/>
    <w:rsid w:val="005A5597"/>
    <w:rsid w:val="005A580E"/>
    <w:rsid w:val="005A5E07"/>
    <w:rsid w:val="005A7138"/>
    <w:rsid w:val="005A73DF"/>
    <w:rsid w:val="005A75F9"/>
    <w:rsid w:val="005B05E8"/>
    <w:rsid w:val="005B0B2D"/>
    <w:rsid w:val="005B10CC"/>
    <w:rsid w:val="005B11FB"/>
    <w:rsid w:val="005B128C"/>
    <w:rsid w:val="005B1ED2"/>
    <w:rsid w:val="005B1FB9"/>
    <w:rsid w:val="005B2598"/>
    <w:rsid w:val="005B59C0"/>
    <w:rsid w:val="005B681E"/>
    <w:rsid w:val="005B6BC8"/>
    <w:rsid w:val="005C1171"/>
    <w:rsid w:val="005C1AB5"/>
    <w:rsid w:val="005C1F2C"/>
    <w:rsid w:val="005C2C1A"/>
    <w:rsid w:val="005C3258"/>
    <w:rsid w:val="005C3503"/>
    <w:rsid w:val="005C3578"/>
    <w:rsid w:val="005C42D1"/>
    <w:rsid w:val="005C6B07"/>
    <w:rsid w:val="005D0C55"/>
    <w:rsid w:val="005D29F5"/>
    <w:rsid w:val="005D2BC8"/>
    <w:rsid w:val="005D2D37"/>
    <w:rsid w:val="005D323F"/>
    <w:rsid w:val="005D3553"/>
    <w:rsid w:val="005D4AAA"/>
    <w:rsid w:val="005D507E"/>
    <w:rsid w:val="005D5661"/>
    <w:rsid w:val="005D659A"/>
    <w:rsid w:val="005D7C59"/>
    <w:rsid w:val="005D7CE7"/>
    <w:rsid w:val="005E0712"/>
    <w:rsid w:val="005E0BEF"/>
    <w:rsid w:val="005E1212"/>
    <w:rsid w:val="005E3405"/>
    <w:rsid w:val="005E3DDE"/>
    <w:rsid w:val="005E4149"/>
    <w:rsid w:val="005E438F"/>
    <w:rsid w:val="005E4658"/>
    <w:rsid w:val="005E4839"/>
    <w:rsid w:val="005E4C66"/>
    <w:rsid w:val="005F00EC"/>
    <w:rsid w:val="005F15DD"/>
    <w:rsid w:val="005F1A62"/>
    <w:rsid w:val="005F5281"/>
    <w:rsid w:val="005F5EB1"/>
    <w:rsid w:val="005F6173"/>
    <w:rsid w:val="005F677F"/>
    <w:rsid w:val="005F73E1"/>
    <w:rsid w:val="005F7F06"/>
    <w:rsid w:val="006000CE"/>
    <w:rsid w:val="006004BC"/>
    <w:rsid w:val="006005BF"/>
    <w:rsid w:val="00600830"/>
    <w:rsid w:val="00600CD4"/>
    <w:rsid w:val="00600EB9"/>
    <w:rsid w:val="00600EE3"/>
    <w:rsid w:val="00601DF1"/>
    <w:rsid w:val="0060238B"/>
    <w:rsid w:val="006043B0"/>
    <w:rsid w:val="00605317"/>
    <w:rsid w:val="006057A6"/>
    <w:rsid w:val="00605AC1"/>
    <w:rsid w:val="00607D22"/>
    <w:rsid w:val="0061126E"/>
    <w:rsid w:val="0061163E"/>
    <w:rsid w:val="0061206B"/>
    <w:rsid w:val="00612D09"/>
    <w:rsid w:val="006146A6"/>
    <w:rsid w:val="006147DE"/>
    <w:rsid w:val="006211A5"/>
    <w:rsid w:val="00621796"/>
    <w:rsid w:val="00621EB4"/>
    <w:rsid w:val="0062265F"/>
    <w:rsid w:val="00623569"/>
    <w:rsid w:val="00625115"/>
    <w:rsid w:val="00626785"/>
    <w:rsid w:val="006267CE"/>
    <w:rsid w:val="00626839"/>
    <w:rsid w:val="00626E2C"/>
    <w:rsid w:val="006270A2"/>
    <w:rsid w:val="00630489"/>
    <w:rsid w:val="00630A24"/>
    <w:rsid w:val="006310D5"/>
    <w:rsid w:val="00631404"/>
    <w:rsid w:val="006333AE"/>
    <w:rsid w:val="00633502"/>
    <w:rsid w:val="006346C0"/>
    <w:rsid w:val="006357C6"/>
    <w:rsid w:val="00635E8B"/>
    <w:rsid w:val="006366AA"/>
    <w:rsid w:val="006366BB"/>
    <w:rsid w:val="00636A1A"/>
    <w:rsid w:val="0063758B"/>
    <w:rsid w:val="006375C8"/>
    <w:rsid w:val="00637A8F"/>
    <w:rsid w:val="00637C15"/>
    <w:rsid w:val="00637F8E"/>
    <w:rsid w:val="00640244"/>
    <w:rsid w:val="00641DBD"/>
    <w:rsid w:val="006436F2"/>
    <w:rsid w:val="00643F69"/>
    <w:rsid w:val="0064522A"/>
    <w:rsid w:val="00646C5C"/>
    <w:rsid w:val="00650D5D"/>
    <w:rsid w:val="00651486"/>
    <w:rsid w:val="006515D7"/>
    <w:rsid w:val="00651F5F"/>
    <w:rsid w:val="006527EB"/>
    <w:rsid w:val="006528D3"/>
    <w:rsid w:val="00652FAD"/>
    <w:rsid w:val="00654CD8"/>
    <w:rsid w:val="00654E69"/>
    <w:rsid w:val="00656686"/>
    <w:rsid w:val="00656AB5"/>
    <w:rsid w:val="00656D97"/>
    <w:rsid w:val="00656E1A"/>
    <w:rsid w:val="00656F2E"/>
    <w:rsid w:val="00656F60"/>
    <w:rsid w:val="00657A35"/>
    <w:rsid w:val="0066145F"/>
    <w:rsid w:val="0066330D"/>
    <w:rsid w:val="00663C14"/>
    <w:rsid w:val="00663DA8"/>
    <w:rsid w:val="00664299"/>
    <w:rsid w:val="00664523"/>
    <w:rsid w:val="00665046"/>
    <w:rsid w:val="006652AB"/>
    <w:rsid w:val="00665311"/>
    <w:rsid w:val="00665533"/>
    <w:rsid w:val="0066561D"/>
    <w:rsid w:val="00667E62"/>
    <w:rsid w:val="00670771"/>
    <w:rsid w:val="0067085B"/>
    <w:rsid w:val="00670C7B"/>
    <w:rsid w:val="0067130E"/>
    <w:rsid w:val="00671823"/>
    <w:rsid w:val="00672861"/>
    <w:rsid w:val="00673725"/>
    <w:rsid w:val="006738A0"/>
    <w:rsid w:val="00673B9D"/>
    <w:rsid w:val="00673FD3"/>
    <w:rsid w:val="00674339"/>
    <w:rsid w:val="00674A25"/>
    <w:rsid w:val="00674EEF"/>
    <w:rsid w:val="0067521A"/>
    <w:rsid w:val="00675AFF"/>
    <w:rsid w:val="00677051"/>
    <w:rsid w:val="00677FF3"/>
    <w:rsid w:val="00680851"/>
    <w:rsid w:val="00680920"/>
    <w:rsid w:val="00680AA6"/>
    <w:rsid w:val="00682640"/>
    <w:rsid w:val="00682D31"/>
    <w:rsid w:val="00683D88"/>
    <w:rsid w:val="006845F1"/>
    <w:rsid w:val="0068493E"/>
    <w:rsid w:val="006862B9"/>
    <w:rsid w:val="00686C20"/>
    <w:rsid w:val="00686CC5"/>
    <w:rsid w:val="00687487"/>
    <w:rsid w:val="00687823"/>
    <w:rsid w:val="0069027B"/>
    <w:rsid w:val="00691DBE"/>
    <w:rsid w:val="00692207"/>
    <w:rsid w:val="00692543"/>
    <w:rsid w:val="00692BD8"/>
    <w:rsid w:val="00693484"/>
    <w:rsid w:val="00693B0E"/>
    <w:rsid w:val="0069481A"/>
    <w:rsid w:val="0069484C"/>
    <w:rsid w:val="006948B3"/>
    <w:rsid w:val="00694CA5"/>
    <w:rsid w:val="00697430"/>
    <w:rsid w:val="00697B47"/>
    <w:rsid w:val="006A0B35"/>
    <w:rsid w:val="006A2051"/>
    <w:rsid w:val="006A28E8"/>
    <w:rsid w:val="006A2EA5"/>
    <w:rsid w:val="006A2FAC"/>
    <w:rsid w:val="006A3A64"/>
    <w:rsid w:val="006A3A71"/>
    <w:rsid w:val="006A3FA1"/>
    <w:rsid w:val="006A5C62"/>
    <w:rsid w:val="006A652E"/>
    <w:rsid w:val="006A653A"/>
    <w:rsid w:val="006A6606"/>
    <w:rsid w:val="006A68F2"/>
    <w:rsid w:val="006A6B7D"/>
    <w:rsid w:val="006A6C44"/>
    <w:rsid w:val="006A7CD7"/>
    <w:rsid w:val="006B0D81"/>
    <w:rsid w:val="006B3D9E"/>
    <w:rsid w:val="006B410E"/>
    <w:rsid w:val="006B477D"/>
    <w:rsid w:val="006B4D83"/>
    <w:rsid w:val="006B564D"/>
    <w:rsid w:val="006B6272"/>
    <w:rsid w:val="006B79DB"/>
    <w:rsid w:val="006C01BE"/>
    <w:rsid w:val="006C17A5"/>
    <w:rsid w:val="006C28D3"/>
    <w:rsid w:val="006C2A9F"/>
    <w:rsid w:val="006C4387"/>
    <w:rsid w:val="006C4789"/>
    <w:rsid w:val="006C4BA9"/>
    <w:rsid w:val="006C55A0"/>
    <w:rsid w:val="006C6722"/>
    <w:rsid w:val="006C6AA5"/>
    <w:rsid w:val="006C77CE"/>
    <w:rsid w:val="006C797C"/>
    <w:rsid w:val="006C7AE0"/>
    <w:rsid w:val="006D0113"/>
    <w:rsid w:val="006D08F2"/>
    <w:rsid w:val="006D0B68"/>
    <w:rsid w:val="006D0E12"/>
    <w:rsid w:val="006D1805"/>
    <w:rsid w:val="006D1D60"/>
    <w:rsid w:val="006D1EBF"/>
    <w:rsid w:val="006D2254"/>
    <w:rsid w:val="006D3135"/>
    <w:rsid w:val="006D3223"/>
    <w:rsid w:val="006D39FB"/>
    <w:rsid w:val="006D3BD5"/>
    <w:rsid w:val="006D41BE"/>
    <w:rsid w:val="006D4328"/>
    <w:rsid w:val="006D55F8"/>
    <w:rsid w:val="006D6544"/>
    <w:rsid w:val="006D663B"/>
    <w:rsid w:val="006D6AE3"/>
    <w:rsid w:val="006D7B0E"/>
    <w:rsid w:val="006D7D03"/>
    <w:rsid w:val="006E04E3"/>
    <w:rsid w:val="006E099C"/>
    <w:rsid w:val="006E0B0B"/>
    <w:rsid w:val="006E1900"/>
    <w:rsid w:val="006E1DDD"/>
    <w:rsid w:val="006E385B"/>
    <w:rsid w:val="006E44F3"/>
    <w:rsid w:val="006E6276"/>
    <w:rsid w:val="006E7833"/>
    <w:rsid w:val="006F0202"/>
    <w:rsid w:val="006F0AF8"/>
    <w:rsid w:val="006F1873"/>
    <w:rsid w:val="006F249C"/>
    <w:rsid w:val="006F2BDD"/>
    <w:rsid w:val="006F2F47"/>
    <w:rsid w:val="006F316F"/>
    <w:rsid w:val="006F48E8"/>
    <w:rsid w:val="006F66C4"/>
    <w:rsid w:val="006F7783"/>
    <w:rsid w:val="006F7E83"/>
    <w:rsid w:val="00700CF5"/>
    <w:rsid w:val="00701770"/>
    <w:rsid w:val="00704578"/>
    <w:rsid w:val="007046E4"/>
    <w:rsid w:val="007048DC"/>
    <w:rsid w:val="00704DC6"/>
    <w:rsid w:val="007055F0"/>
    <w:rsid w:val="00705D20"/>
    <w:rsid w:val="00705DB8"/>
    <w:rsid w:val="00705E8A"/>
    <w:rsid w:val="00707089"/>
    <w:rsid w:val="0071052C"/>
    <w:rsid w:val="0071094D"/>
    <w:rsid w:val="00711301"/>
    <w:rsid w:val="007133DD"/>
    <w:rsid w:val="00713585"/>
    <w:rsid w:val="007136C6"/>
    <w:rsid w:val="0071409E"/>
    <w:rsid w:val="00714813"/>
    <w:rsid w:val="00714A89"/>
    <w:rsid w:val="00714B0F"/>
    <w:rsid w:val="00715439"/>
    <w:rsid w:val="0071771B"/>
    <w:rsid w:val="00720CF6"/>
    <w:rsid w:val="00721009"/>
    <w:rsid w:val="007216D3"/>
    <w:rsid w:val="00722C3C"/>
    <w:rsid w:val="0072347E"/>
    <w:rsid w:val="00723E82"/>
    <w:rsid w:val="007240B4"/>
    <w:rsid w:val="00724DDE"/>
    <w:rsid w:val="00725124"/>
    <w:rsid w:val="00725CBB"/>
    <w:rsid w:val="0072711F"/>
    <w:rsid w:val="00732893"/>
    <w:rsid w:val="00732B58"/>
    <w:rsid w:val="00732E51"/>
    <w:rsid w:val="00733A4A"/>
    <w:rsid w:val="0073481E"/>
    <w:rsid w:val="0073492B"/>
    <w:rsid w:val="00735528"/>
    <w:rsid w:val="007358E3"/>
    <w:rsid w:val="00735A4B"/>
    <w:rsid w:val="00735EAC"/>
    <w:rsid w:val="0073646D"/>
    <w:rsid w:val="0073725C"/>
    <w:rsid w:val="00740756"/>
    <w:rsid w:val="00740998"/>
    <w:rsid w:val="0074152C"/>
    <w:rsid w:val="00741BCC"/>
    <w:rsid w:val="007432E3"/>
    <w:rsid w:val="007439E8"/>
    <w:rsid w:val="007444B2"/>
    <w:rsid w:val="00744D59"/>
    <w:rsid w:val="007466AA"/>
    <w:rsid w:val="00746821"/>
    <w:rsid w:val="00746F89"/>
    <w:rsid w:val="0074713E"/>
    <w:rsid w:val="007475B7"/>
    <w:rsid w:val="007479F5"/>
    <w:rsid w:val="0075066E"/>
    <w:rsid w:val="00750828"/>
    <w:rsid w:val="00750B3E"/>
    <w:rsid w:val="00750F64"/>
    <w:rsid w:val="0075138E"/>
    <w:rsid w:val="007517B0"/>
    <w:rsid w:val="00751D24"/>
    <w:rsid w:val="007520DB"/>
    <w:rsid w:val="007538A6"/>
    <w:rsid w:val="00754814"/>
    <w:rsid w:val="007549E9"/>
    <w:rsid w:val="0075500F"/>
    <w:rsid w:val="0075550E"/>
    <w:rsid w:val="007576E0"/>
    <w:rsid w:val="007601F3"/>
    <w:rsid w:val="007607DD"/>
    <w:rsid w:val="00762ACB"/>
    <w:rsid w:val="007640F0"/>
    <w:rsid w:val="007643B7"/>
    <w:rsid w:val="00764944"/>
    <w:rsid w:val="007656BF"/>
    <w:rsid w:val="007657FF"/>
    <w:rsid w:val="007658BE"/>
    <w:rsid w:val="00765B5E"/>
    <w:rsid w:val="00765FE3"/>
    <w:rsid w:val="00766004"/>
    <w:rsid w:val="007665CE"/>
    <w:rsid w:val="00767B3B"/>
    <w:rsid w:val="00770170"/>
    <w:rsid w:val="00770981"/>
    <w:rsid w:val="00771F3B"/>
    <w:rsid w:val="007721D1"/>
    <w:rsid w:val="0077287A"/>
    <w:rsid w:val="0077348E"/>
    <w:rsid w:val="00774FFF"/>
    <w:rsid w:val="0077514F"/>
    <w:rsid w:val="00775452"/>
    <w:rsid w:val="00775AD7"/>
    <w:rsid w:val="00775DAC"/>
    <w:rsid w:val="00776CFD"/>
    <w:rsid w:val="00776D92"/>
    <w:rsid w:val="00777407"/>
    <w:rsid w:val="00777BF8"/>
    <w:rsid w:val="00780195"/>
    <w:rsid w:val="00780563"/>
    <w:rsid w:val="00780642"/>
    <w:rsid w:val="00780E9F"/>
    <w:rsid w:val="007821B3"/>
    <w:rsid w:val="00783DBA"/>
    <w:rsid w:val="007843B9"/>
    <w:rsid w:val="00784EFD"/>
    <w:rsid w:val="0078513C"/>
    <w:rsid w:val="007863D7"/>
    <w:rsid w:val="00786B3E"/>
    <w:rsid w:val="00786C63"/>
    <w:rsid w:val="00787BA6"/>
    <w:rsid w:val="007920B6"/>
    <w:rsid w:val="007929FD"/>
    <w:rsid w:val="00793328"/>
    <w:rsid w:val="007934A3"/>
    <w:rsid w:val="007934D9"/>
    <w:rsid w:val="00794036"/>
    <w:rsid w:val="00795358"/>
    <w:rsid w:val="00796A12"/>
    <w:rsid w:val="00796CB9"/>
    <w:rsid w:val="00797ED8"/>
    <w:rsid w:val="00797F90"/>
    <w:rsid w:val="007A0054"/>
    <w:rsid w:val="007A2B4A"/>
    <w:rsid w:val="007A3923"/>
    <w:rsid w:val="007A4130"/>
    <w:rsid w:val="007A54EB"/>
    <w:rsid w:val="007A7A40"/>
    <w:rsid w:val="007B1784"/>
    <w:rsid w:val="007B192B"/>
    <w:rsid w:val="007B2979"/>
    <w:rsid w:val="007B2E58"/>
    <w:rsid w:val="007B356A"/>
    <w:rsid w:val="007B41F3"/>
    <w:rsid w:val="007B4D27"/>
    <w:rsid w:val="007B559C"/>
    <w:rsid w:val="007B5635"/>
    <w:rsid w:val="007B588F"/>
    <w:rsid w:val="007B5AD8"/>
    <w:rsid w:val="007B5B57"/>
    <w:rsid w:val="007B5BEE"/>
    <w:rsid w:val="007B5F57"/>
    <w:rsid w:val="007B5F97"/>
    <w:rsid w:val="007B7CE2"/>
    <w:rsid w:val="007C10DE"/>
    <w:rsid w:val="007C1A50"/>
    <w:rsid w:val="007C2666"/>
    <w:rsid w:val="007C3683"/>
    <w:rsid w:val="007C3C85"/>
    <w:rsid w:val="007C3E77"/>
    <w:rsid w:val="007C41A4"/>
    <w:rsid w:val="007C453F"/>
    <w:rsid w:val="007C4F06"/>
    <w:rsid w:val="007C61D0"/>
    <w:rsid w:val="007D0272"/>
    <w:rsid w:val="007D1C46"/>
    <w:rsid w:val="007D2773"/>
    <w:rsid w:val="007D36A9"/>
    <w:rsid w:val="007D3BE8"/>
    <w:rsid w:val="007D5579"/>
    <w:rsid w:val="007D56D1"/>
    <w:rsid w:val="007D57E4"/>
    <w:rsid w:val="007D6283"/>
    <w:rsid w:val="007D679D"/>
    <w:rsid w:val="007D7318"/>
    <w:rsid w:val="007D7B41"/>
    <w:rsid w:val="007D7E00"/>
    <w:rsid w:val="007E1421"/>
    <w:rsid w:val="007E1D0F"/>
    <w:rsid w:val="007E257E"/>
    <w:rsid w:val="007E2DFE"/>
    <w:rsid w:val="007E2E4B"/>
    <w:rsid w:val="007E4809"/>
    <w:rsid w:val="007E5B2A"/>
    <w:rsid w:val="007E5EA2"/>
    <w:rsid w:val="007E70C0"/>
    <w:rsid w:val="007E76C0"/>
    <w:rsid w:val="007E79DC"/>
    <w:rsid w:val="007E7D32"/>
    <w:rsid w:val="007F0C10"/>
    <w:rsid w:val="007F1DB6"/>
    <w:rsid w:val="007F2275"/>
    <w:rsid w:val="007F2CAF"/>
    <w:rsid w:val="007F4A36"/>
    <w:rsid w:val="007F5F2A"/>
    <w:rsid w:val="007F78EE"/>
    <w:rsid w:val="00800D34"/>
    <w:rsid w:val="00800FAF"/>
    <w:rsid w:val="00801413"/>
    <w:rsid w:val="00802BD3"/>
    <w:rsid w:val="008032DF"/>
    <w:rsid w:val="0080411A"/>
    <w:rsid w:val="008048CE"/>
    <w:rsid w:val="00804ACD"/>
    <w:rsid w:val="0080643A"/>
    <w:rsid w:val="00806C81"/>
    <w:rsid w:val="008073CF"/>
    <w:rsid w:val="00807644"/>
    <w:rsid w:val="00811DF3"/>
    <w:rsid w:val="00812012"/>
    <w:rsid w:val="008121C4"/>
    <w:rsid w:val="008122A0"/>
    <w:rsid w:val="0081353B"/>
    <w:rsid w:val="00814FD2"/>
    <w:rsid w:val="0081615D"/>
    <w:rsid w:val="008164FA"/>
    <w:rsid w:val="0081768E"/>
    <w:rsid w:val="00817DDC"/>
    <w:rsid w:val="0082065C"/>
    <w:rsid w:val="00820E7C"/>
    <w:rsid w:val="00822887"/>
    <w:rsid w:val="00823105"/>
    <w:rsid w:val="008236DA"/>
    <w:rsid w:val="00823C54"/>
    <w:rsid w:val="00823F10"/>
    <w:rsid w:val="00830014"/>
    <w:rsid w:val="008310B2"/>
    <w:rsid w:val="0083132A"/>
    <w:rsid w:val="00832C0E"/>
    <w:rsid w:val="00833D80"/>
    <w:rsid w:val="00833F73"/>
    <w:rsid w:val="00833F8B"/>
    <w:rsid w:val="00834F65"/>
    <w:rsid w:val="0083624F"/>
    <w:rsid w:val="008366C8"/>
    <w:rsid w:val="00836D2B"/>
    <w:rsid w:val="008376C3"/>
    <w:rsid w:val="008403DF"/>
    <w:rsid w:val="0084040E"/>
    <w:rsid w:val="008408B0"/>
    <w:rsid w:val="00841034"/>
    <w:rsid w:val="00842431"/>
    <w:rsid w:val="00842E21"/>
    <w:rsid w:val="00842F1B"/>
    <w:rsid w:val="00843068"/>
    <w:rsid w:val="008431FF"/>
    <w:rsid w:val="0084457C"/>
    <w:rsid w:val="00844D37"/>
    <w:rsid w:val="0084591F"/>
    <w:rsid w:val="00845939"/>
    <w:rsid w:val="00845F40"/>
    <w:rsid w:val="00846402"/>
    <w:rsid w:val="00846A57"/>
    <w:rsid w:val="00846BC5"/>
    <w:rsid w:val="00846FEB"/>
    <w:rsid w:val="008471EC"/>
    <w:rsid w:val="00847319"/>
    <w:rsid w:val="008501DB"/>
    <w:rsid w:val="00850F89"/>
    <w:rsid w:val="0085242C"/>
    <w:rsid w:val="00853094"/>
    <w:rsid w:val="008534C6"/>
    <w:rsid w:val="008536FF"/>
    <w:rsid w:val="00854E40"/>
    <w:rsid w:val="00854FAA"/>
    <w:rsid w:val="00857C7F"/>
    <w:rsid w:val="0086069D"/>
    <w:rsid w:val="00860BCA"/>
    <w:rsid w:val="00863A22"/>
    <w:rsid w:val="008642AA"/>
    <w:rsid w:val="00864AF5"/>
    <w:rsid w:val="00864B65"/>
    <w:rsid w:val="00864F87"/>
    <w:rsid w:val="008652C9"/>
    <w:rsid w:val="00865F5A"/>
    <w:rsid w:val="008662EE"/>
    <w:rsid w:val="00866346"/>
    <w:rsid w:val="0086697C"/>
    <w:rsid w:val="00866A29"/>
    <w:rsid w:val="00866FAA"/>
    <w:rsid w:val="00867A8F"/>
    <w:rsid w:val="00867C1F"/>
    <w:rsid w:val="00867DF9"/>
    <w:rsid w:val="00867ECF"/>
    <w:rsid w:val="008716BD"/>
    <w:rsid w:val="00872A3E"/>
    <w:rsid w:val="00872F3F"/>
    <w:rsid w:val="00872FBF"/>
    <w:rsid w:val="00873AC6"/>
    <w:rsid w:val="00873FCE"/>
    <w:rsid w:val="00874648"/>
    <w:rsid w:val="00877838"/>
    <w:rsid w:val="00877F69"/>
    <w:rsid w:val="008809EE"/>
    <w:rsid w:val="00882B6D"/>
    <w:rsid w:val="00883254"/>
    <w:rsid w:val="0088416F"/>
    <w:rsid w:val="008847F2"/>
    <w:rsid w:val="008851DF"/>
    <w:rsid w:val="008857DC"/>
    <w:rsid w:val="008858D0"/>
    <w:rsid w:val="00886555"/>
    <w:rsid w:val="008903C4"/>
    <w:rsid w:val="00892B27"/>
    <w:rsid w:val="008934CD"/>
    <w:rsid w:val="00893A51"/>
    <w:rsid w:val="00893BE0"/>
    <w:rsid w:val="00894A73"/>
    <w:rsid w:val="008958B9"/>
    <w:rsid w:val="008958DE"/>
    <w:rsid w:val="00895D95"/>
    <w:rsid w:val="00895F9D"/>
    <w:rsid w:val="00895FD6"/>
    <w:rsid w:val="00896310"/>
    <w:rsid w:val="00896F2D"/>
    <w:rsid w:val="00896F76"/>
    <w:rsid w:val="008A0E56"/>
    <w:rsid w:val="008A16EE"/>
    <w:rsid w:val="008A18C4"/>
    <w:rsid w:val="008A22E4"/>
    <w:rsid w:val="008A2521"/>
    <w:rsid w:val="008A27F6"/>
    <w:rsid w:val="008A28B7"/>
    <w:rsid w:val="008A459C"/>
    <w:rsid w:val="008A527C"/>
    <w:rsid w:val="008A5CA4"/>
    <w:rsid w:val="008A62EB"/>
    <w:rsid w:val="008A6A2B"/>
    <w:rsid w:val="008A6D0B"/>
    <w:rsid w:val="008A6DED"/>
    <w:rsid w:val="008B0F8D"/>
    <w:rsid w:val="008B1E2E"/>
    <w:rsid w:val="008B3624"/>
    <w:rsid w:val="008B655D"/>
    <w:rsid w:val="008B660E"/>
    <w:rsid w:val="008B7354"/>
    <w:rsid w:val="008B73A1"/>
    <w:rsid w:val="008C0A70"/>
    <w:rsid w:val="008C0DA4"/>
    <w:rsid w:val="008C2CBD"/>
    <w:rsid w:val="008C35C5"/>
    <w:rsid w:val="008C370E"/>
    <w:rsid w:val="008C448B"/>
    <w:rsid w:val="008C4D1C"/>
    <w:rsid w:val="008C4E2D"/>
    <w:rsid w:val="008C6D47"/>
    <w:rsid w:val="008C70E2"/>
    <w:rsid w:val="008D04FE"/>
    <w:rsid w:val="008D0846"/>
    <w:rsid w:val="008D28D6"/>
    <w:rsid w:val="008D2A82"/>
    <w:rsid w:val="008D33C4"/>
    <w:rsid w:val="008D353D"/>
    <w:rsid w:val="008D38E5"/>
    <w:rsid w:val="008D406B"/>
    <w:rsid w:val="008D454F"/>
    <w:rsid w:val="008D4D7F"/>
    <w:rsid w:val="008D4DB1"/>
    <w:rsid w:val="008D59B8"/>
    <w:rsid w:val="008D606D"/>
    <w:rsid w:val="008D72CA"/>
    <w:rsid w:val="008D786E"/>
    <w:rsid w:val="008D7DDA"/>
    <w:rsid w:val="008E077D"/>
    <w:rsid w:val="008E0FCE"/>
    <w:rsid w:val="008E1B4A"/>
    <w:rsid w:val="008E3E65"/>
    <w:rsid w:val="008E42B5"/>
    <w:rsid w:val="008E4410"/>
    <w:rsid w:val="008E4AA7"/>
    <w:rsid w:val="008E5CAE"/>
    <w:rsid w:val="008F0211"/>
    <w:rsid w:val="008F08FB"/>
    <w:rsid w:val="008F139A"/>
    <w:rsid w:val="008F139D"/>
    <w:rsid w:val="008F16EA"/>
    <w:rsid w:val="008F1980"/>
    <w:rsid w:val="008F21B9"/>
    <w:rsid w:val="008F322E"/>
    <w:rsid w:val="008F4A3A"/>
    <w:rsid w:val="008F7927"/>
    <w:rsid w:val="008F7E47"/>
    <w:rsid w:val="009006FD"/>
    <w:rsid w:val="0090195B"/>
    <w:rsid w:val="0090435B"/>
    <w:rsid w:val="0090489E"/>
    <w:rsid w:val="009048D7"/>
    <w:rsid w:val="009048FB"/>
    <w:rsid w:val="009055AE"/>
    <w:rsid w:val="009067C8"/>
    <w:rsid w:val="009077CB"/>
    <w:rsid w:val="00907F65"/>
    <w:rsid w:val="009106AE"/>
    <w:rsid w:val="0091078D"/>
    <w:rsid w:val="00910DE6"/>
    <w:rsid w:val="00911CBF"/>
    <w:rsid w:val="009125D0"/>
    <w:rsid w:val="00912B05"/>
    <w:rsid w:val="00912EC3"/>
    <w:rsid w:val="009139FE"/>
    <w:rsid w:val="00913CD3"/>
    <w:rsid w:val="00915354"/>
    <w:rsid w:val="009156E9"/>
    <w:rsid w:val="0091586E"/>
    <w:rsid w:val="00915D31"/>
    <w:rsid w:val="009165BC"/>
    <w:rsid w:val="00916CF1"/>
    <w:rsid w:val="00916E1F"/>
    <w:rsid w:val="00920899"/>
    <w:rsid w:val="00921A40"/>
    <w:rsid w:val="00922C98"/>
    <w:rsid w:val="00923847"/>
    <w:rsid w:val="00923B17"/>
    <w:rsid w:val="00924FC1"/>
    <w:rsid w:val="009254D1"/>
    <w:rsid w:val="00926F23"/>
    <w:rsid w:val="00927EAB"/>
    <w:rsid w:val="00927ECA"/>
    <w:rsid w:val="00930196"/>
    <w:rsid w:val="009303F1"/>
    <w:rsid w:val="009304D1"/>
    <w:rsid w:val="0093284B"/>
    <w:rsid w:val="00932BE9"/>
    <w:rsid w:val="00932DE6"/>
    <w:rsid w:val="00932FAD"/>
    <w:rsid w:val="00933156"/>
    <w:rsid w:val="00935184"/>
    <w:rsid w:val="009352FF"/>
    <w:rsid w:val="009365B2"/>
    <w:rsid w:val="00936813"/>
    <w:rsid w:val="009369D8"/>
    <w:rsid w:val="0093730F"/>
    <w:rsid w:val="009375AF"/>
    <w:rsid w:val="00937722"/>
    <w:rsid w:val="00942BFD"/>
    <w:rsid w:val="009432D7"/>
    <w:rsid w:val="00943836"/>
    <w:rsid w:val="00943A93"/>
    <w:rsid w:val="00945818"/>
    <w:rsid w:val="00945D32"/>
    <w:rsid w:val="00946F3F"/>
    <w:rsid w:val="00947731"/>
    <w:rsid w:val="00951113"/>
    <w:rsid w:val="00951C6A"/>
    <w:rsid w:val="009525F9"/>
    <w:rsid w:val="009540C7"/>
    <w:rsid w:val="0095433B"/>
    <w:rsid w:val="00954C70"/>
    <w:rsid w:val="0095561A"/>
    <w:rsid w:val="0096096F"/>
    <w:rsid w:val="00960D8D"/>
    <w:rsid w:val="00960F50"/>
    <w:rsid w:val="00961E8F"/>
    <w:rsid w:val="009622C3"/>
    <w:rsid w:val="0096262C"/>
    <w:rsid w:val="00962E52"/>
    <w:rsid w:val="00963F77"/>
    <w:rsid w:val="00966B2D"/>
    <w:rsid w:val="00966BDE"/>
    <w:rsid w:val="00970BC9"/>
    <w:rsid w:val="009711D3"/>
    <w:rsid w:val="009724F7"/>
    <w:rsid w:val="00972E8C"/>
    <w:rsid w:val="00973691"/>
    <w:rsid w:val="009745D0"/>
    <w:rsid w:val="009758B0"/>
    <w:rsid w:val="00980439"/>
    <w:rsid w:val="0098083A"/>
    <w:rsid w:val="00982242"/>
    <w:rsid w:val="0098356F"/>
    <w:rsid w:val="00983921"/>
    <w:rsid w:val="00986329"/>
    <w:rsid w:val="009876E8"/>
    <w:rsid w:val="00990AA7"/>
    <w:rsid w:val="00990D10"/>
    <w:rsid w:val="00991C00"/>
    <w:rsid w:val="00991CE0"/>
    <w:rsid w:val="00992447"/>
    <w:rsid w:val="0099437D"/>
    <w:rsid w:val="009951F5"/>
    <w:rsid w:val="009952D9"/>
    <w:rsid w:val="00995DEB"/>
    <w:rsid w:val="009A07A2"/>
    <w:rsid w:val="009A0EC9"/>
    <w:rsid w:val="009A1279"/>
    <w:rsid w:val="009A210F"/>
    <w:rsid w:val="009A22C7"/>
    <w:rsid w:val="009A2679"/>
    <w:rsid w:val="009A3A5C"/>
    <w:rsid w:val="009A3CFE"/>
    <w:rsid w:val="009A404D"/>
    <w:rsid w:val="009A4DC5"/>
    <w:rsid w:val="009A4E73"/>
    <w:rsid w:val="009A5B93"/>
    <w:rsid w:val="009A64B1"/>
    <w:rsid w:val="009A68E8"/>
    <w:rsid w:val="009A7F40"/>
    <w:rsid w:val="009B0887"/>
    <w:rsid w:val="009B0CA8"/>
    <w:rsid w:val="009B39BB"/>
    <w:rsid w:val="009B529D"/>
    <w:rsid w:val="009B6064"/>
    <w:rsid w:val="009B6615"/>
    <w:rsid w:val="009B6E4D"/>
    <w:rsid w:val="009B7854"/>
    <w:rsid w:val="009C1176"/>
    <w:rsid w:val="009C21F2"/>
    <w:rsid w:val="009C267A"/>
    <w:rsid w:val="009C28A0"/>
    <w:rsid w:val="009C2AC3"/>
    <w:rsid w:val="009C3206"/>
    <w:rsid w:val="009C3A99"/>
    <w:rsid w:val="009C4ABB"/>
    <w:rsid w:val="009D00BC"/>
    <w:rsid w:val="009D0748"/>
    <w:rsid w:val="009D0BF4"/>
    <w:rsid w:val="009D1556"/>
    <w:rsid w:val="009D3309"/>
    <w:rsid w:val="009D3FB2"/>
    <w:rsid w:val="009D4751"/>
    <w:rsid w:val="009D56F5"/>
    <w:rsid w:val="009D5C8A"/>
    <w:rsid w:val="009E0048"/>
    <w:rsid w:val="009E03E0"/>
    <w:rsid w:val="009E048A"/>
    <w:rsid w:val="009E0C52"/>
    <w:rsid w:val="009E10F6"/>
    <w:rsid w:val="009E18C7"/>
    <w:rsid w:val="009E19F5"/>
    <w:rsid w:val="009E314A"/>
    <w:rsid w:val="009E3498"/>
    <w:rsid w:val="009E381B"/>
    <w:rsid w:val="009E49A6"/>
    <w:rsid w:val="009E7673"/>
    <w:rsid w:val="009E7BB3"/>
    <w:rsid w:val="009F0FA2"/>
    <w:rsid w:val="009F1A74"/>
    <w:rsid w:val="009F1EBE"/>
    <w:rsid w:val="009F21B0"/>
    <w:rsid w:val="009F48D5"/>
    <w:rsid w:val="009F4BC9"/>
    <w:rsid w:val="009F5A1A"/>
    <w:rsid w:val="009F60BC"/>
    <w:rsid w:val="009F724A"/>
    <w:rsid w:val="009F796E"/>
    <w:rsid w:val="009F7C43"/>
    <w:rsid w:val="009F7DBC"/>
    <w:rsid w:val="00A00352"/>
    <w:rsid w:val="00A014A7"/>
    <w:rsid w:val="00A033EF"/>
    <w:rsid w:val="00A043FD"/>
    <w:rsid w:val="00A045A7"/>
    <w:rsid w:val="00A04B0D"/>
    <w:rsid w:val="00A0575E"/>
    <w:rsid w:val="00A05929"/>
    <w:rsid w:val="00A05B00"/>
    <w:rsid w:val="00A06557"/>
    <w:rsid w:val="00A072EE"/>
    <w:rsid w:val="00A106FE"/>
    <w:rsid w:val="00A108E9"/>
    <w:rsid w:val="00A128F9"/>
    <w:rsid w:val="00A12C29"/>
    <w:rsid w:val="00A13594"/>
    <w:rsid w:val="00A13B79"/>
    <w:rsid w:val="00A151C3"/>
    <w:rsid w:val="00A16FC0"/>
    <w:rsid w:val="00A1738A"/>
    <w:rsid w:val="00A17630"/>
    <w:rsid w:val="00A2191F"/>
    <w:rsid w:val="00A21B22"/>
    <w:rsid w:val="00A2222B"/>
    <w:rsid w:val="00A226AD"/>
    <w:rsid w:val="00A227EE"/>
    <w:rsid w:val="00A23063"/>
    <w:rsid w:val="00A236E2"/>
    <w:rsid w:val="00A24245"/>
    <w:rsid w:val="00A24D84"/>
    <w:rsid w:val="00A26BE8"/>
    <w:rsid w:val="00A3061D"/>
    <w:rsid w:val="00A308C2"/>
    <w:rsid w:val="00A31006"/>
    <w:rsid w:val="00A3211D"/>
    <w:rsid w:val="00A346F6"/>
    <w:rsid w:val="00A351A1"/>
    <w:rsid w:val="00A35F57"/>
    <w:rsid w:val="00A36B74"/>
    <w:rsid w:val="00A36BDB"/>
    <w:rsid w:val="00A40150"/>
    <w:rsid w:val="00A416C5"/>
    <w:rsid w:val="00A41BB6"/>
    <w:rsid w:val="00A41DD3"/>
    <w:rsid w:val="00A44C18"/>
    <w:rsid w:val="00A45611"/>
    <w:rsid w:val="00A464EC"/>
    <w:rsid w:val="00A4734C"/>
    <w:rsid w:val="00A4789E"/>
    <w:rsid w:val="00A47F4E"/>
    <w:rsid w:val="00A50622"/>
    <w:rsid w:val="00A50C94"/>
    <w:rsid w:val="00A514D4"/>
    <w:rsid w:val="00A51610"/>
    <w:rsid w:val="00A526E3"/>
    <w:rsid w:val="00A53197"/>
    <w:rsid w:val="00A53255"/>
    <w:rsid w:val="00A53C17"/>
    <w:rsid w:val="00A54E70"/>
    <w:rsid w:val="00A55CC1"/>
    <w:rsid w:val="00A57CBB"/>
    <w:rsid w:val="00A57DD7"/>
    <w:rsid w:val="00A6062D"/>
    <w:rsid w:val="00A6098D"/>
    <w:rsid w:val="00A62C25"/>
    <w:rsid w:val="00A631CD"/>
    <w:rsid w:val="00A64960"/>
    <w:rsid w:val="00A64981"/>
    <w:rsid w:val="00A65201"/>
    <w:rsid w:val="00A6698C"/>
    <w:rsid w:val="00A66B40"/>
    <w:rsid w:val="00A67008"/>
    <w:rsid w:val="00A67363"/>
    <w:rsid w:val="00A67574"/>
    <w:rsid w:val="00A67E3A"/>
    <w:rsid w:val="00A7095B"/>
    <w:rsid w:val="00A70F22"/>
    <w:rsid w:val="00A71163"/>
    <w:rsid w:val="00A71BE6"/>
    <w:rsid w:val="00A74032"/>
    <w:rsid w:val="00A741C5"/>
    <w:rsid w:val="00A74816"/>
    <w:rsid w:val="00A74D00"/>
    <w:rsid w:val="00A75876"/>
    <w:rsid w:val="00A75E8F"/>
    <w:rsid w:val="00A76161"/>
    <w:rsid w:val="00A779AB"/>
    <w:rsid w:val="00A77B98"/>
    <w:rsid w:val="00A80986"/>
    <w:rsid w:val="00A82B1B"/>
    <w:rsid w:val="00A82FDB"/>
    <w:rsid w:val="00A83278"/>
    <w:rsid w:val="00A83486"/>
    <w:rsid w:val="00A853EB"/>
    <w:rsid w:val="00A86E35"/>
    <w:rsid w:val="00A9073E"/>
    <w:rsid w:val="00A923D5"/>
    <w:rsid w:val="00A92FB1"/>
    <w:rsid w:val="00A93E57"/>
    <w:rsid w:val="00A949FF"/>
    <w:rsid w:val="00A95066"/>
    <w:rsid w:val="00AA014F"/>
    <w:rsid w:val="00AA13B9"/>
    <w:rsid w:val="00AA174B"/>
    <w:rsid w:val="00AA2B8C"/>
    <w:rsid w:val="00AA3389"/>
    <w:rsid w:val="00AA3DD1"/>
    <w:rsid w:val="00AA3DD3"/>
    <w:rsid w:val="00AA4609"/>
    <w:rsid w:val="00AA472A"/>
    <w:rsid w:val="00AA4A0E"/>
    <w:rsid w:val="00AA5892"/>
    <w:rsid w:val="00AA5949"/>
    <w:rsid w:val="00AA5CF2"/>
    <w:rsid w:val="00AA79D0"/>
    <w:rsid w:val="00AA7CEF"/>
    <w:rsid w:val="00AB0129"/>
    <w:rsid w:val="00AB02BD"/>
    <w:rsid w:val="00AB1005"/>
    <w:rsid w:val="00AB19FB"/>
    <w:rsid w:val="00AB1BE4"/>
    <w:rsid w:val="00AB2F6F"/>
    <w:rsid w:val="00AB3AEE"/>
    <w:rsid w:val="00AB3C24"/>
    <w:rsid w:val="00AB6548"/>
    <w:rsid w:val="00AB7CD0"/>
    <w:rsid w:val="00AC0C35"/>
    <w:rsid w:val="00AC0F20"/>
    <w:rsid w:val="00AC1CC1"/>
    <w:rsid w:val="00AC2CF2"/>
    <w:rsid w:val="00AC3C33"/>
    <w:rsid w:val="00AC722B"/>
    <w:rsid w:val="00AC7FCC"/>
    <w:rsid w:val="00AD04F7"/>
    <w:rsid w:val="00AD1307"/>
    <w:rsid w:val="00AD15B4"/>
    <w:rsid w:val="00AD16FD"/>
    <w:rsid w:val="00AD1B72"/>
    <w:rsid w:val="00AD1D11"/>
    <w:rsid w:val="00AD27E8"/>
    <w:rsid w:val="00AD2B78"/>
    <w:rsid w:val="00AD347F"/>
    <w:rsid w:val="00AD3D7D"/>
    <w:rsid w:val="00AD4E2F"/>
    <w:rsid w:val="00AD54BA"/>
    <w:rsid w:val="00AD5DED"/>
    <w:rsid w:val="00AD61DE"/>
    <w:rsid w:val="00AD6ACA"/>
    <w:rsid w:val="00AD6B0C"/>
    <w:rsid w:val="00AD6BAB"/>
    <w:rsid w:val="00AD6E39"/>
    <w:rsid w:val="00AE046B"/>
    <w:rsid w:val="00AE1E9C"/>
    <w:rsid w:val="00AE202C"/>
    <w:rsid w:val="00AE2AA4"/>
    <w:rsid w:val="00AE2CDC"/>
    <w:rsid w:val="00AE2E81"/>
    <w:rsid w:val="00AE2F2F"/>
    <w:rsid w:val="00AE30E2"/>
    <w:rsid w:val="00AE5280"/>
    <w:rsid w:val="00AE537B"/>
    <w:rsid w:val="00AE599B"/>
    <w:rsid w:val="00AE6495"/>
    <w:rsid w:val="00AF02F8"/>
    <w:rsid w:val="00AF0A2D"/>
    <w:rsid w:val="00AF0B6B"/>
    <w:rsid w:val="00AF1BFA"/>
    <w:rsid w:val="00AF30D7"/>
    <w:rsid w:val="00AF4231"/>
    <w:rsid w:val="00AF4C81"/>
    <w:rsid w:val="00AF4F31"/>
    <w:rsid w:val="00AF56EC"/>
    <w:rsid w:val="00AF7A22"/>
    <w:rsid w:val="00AF7E7B"/>
    <w:rsid w:val="00B009C4"/>
    <w:rsid w:val="00B01EC6"/>
    <w:rsid w:val="00B0204E"/>
    <w:rsid w:val="00B0228D"/>
    <w:rsid w:val="00B04193"/>
    <w:rsid w:val="00B05297"/>
    <w:rsid w:val="00B11A06"/>
    <w:rsid w:val="00B12401"/>
    <w:rsid w:val="00B130C3"/>
    <w:rsid w:val="00B1387D"/>
    <w:rsid w:val="00B13F66"/>
    <w:rsid w:val="00B15344"/>
    <w:rsid w:val="00B15CD6"/>
    <w:rsid w:val="00B162C8"/>
    <w:rsid w:val="00B169A2"/>
    <w:rsid w:val="00B1706F"/>
    <w:rsid w:val="00B17BBE"/>
    <w:rsid w:val="00B206CD"/>
    <w:rsid w:val="00B20CAD"/>
    <w:rsid w:val="00B218DF"/>
    <w:rsid w:val="00B21AE7"/>
    <w:rsid w:val="00B21C18"/>
    <w:rsid w:val="00B21D0A"/>
    <w:rsid w:val="00B21D12"/>
    <w:rsid w:val="00B21DF9"/>
    <w:rsid w:val="00B22443"/>
    <w:rsid w:val="00B23D60"/>
    <w:rsid w:val="00B244CB"/>
    <w:rsid w:val="00B2491A"/>
    <w:rsid w:val="00B25BED"/>
    <w:rsid w:val="00B25DEE"/>
    <w:rsid w:val="00B26AF0"/>
    <w:rsid w:val="00B273C2"/>
    <w:rsid w:val="00B2764E"/>
    <w:rsid w:val="00B27CB9"/>
    <w:rsid w:val="00B27DFD"/>
    <w:rsid w:val="00B303B9"/>
    <w:rsid w:val="00B309CE"/>
    <w:rsid w:val="00B30A3E"/>
    <w:rsid w:val="00B3113F"/>
    <w:rsid w:val="00B331F7"/>
    <w:rsid w:val="00B33866"/>
    <w:rsid w:val="00B33B1D"/>
    <w:rsid w:val="00B34B9E"/>
    <w:rsid w:val="00B37F66"/>
    <w:rsid w:val="00B403EE"/>
    <w:rsid w:val="00B40A5D"/>
    <w:rsid w:val="00B41065"/>
    <w:rsid w:val="00B41311"/>
    <w:rsid w:val="00B41F93"/>
    <w:rsid w:val="00B43484"/>
    <w:rsid w:val="00B43B23"/>
    <w:rsid w:val="00B44193"/>
    <w:rsid w:val="00B47B22"/>
    <w:rsid w:val="00B47E0F"/>
    <w:rsid w:val="00B52078"/>
    <w:rsid w:val="00B52620"/>
    <w:rsid w:val="00B5262F"/>
    <w:rsid w:val="00B53AEC"/>
    <w:rsid w:val="00B53B51"/>
    <w:rsid w:val="00B5644D"/>
    <w:rsid w:val="00B567EF"/>
    <w:rsid w:val="00B56883"/>
    <w:rsid w:val="00B56DC4"/>
    <w:rsid w:val="00B578D8"/>
    <w:rsid w:val="00B60231"/>
    <w:rsid w:val="00B60F77"/>
    <w:rsid w:val="00B618D7"/>
    <w:rsid w:val="00B621E5"/>
    <w:rsid w:val="00B64861"/>
    <w:rsid w:val="00B65D91"/>
    <w:rsid w:val="00B66A48"/>
    <w:rsid w:val="00B66AC7"/>
    <w:rsid w:val="00B6704C"/>
    <w:rsid w:val="00B67080"/>
    <w:rsid w:val="00B6798F"/>
    <w:rsid w:val="00B679CE"/>
    <w:rsid w:val="00B7048D"/>
    <w:rsid w:val="00B70D95"/>
    <w:rsid w:val="00B71D7B"/>
    <w:rsid w:val="00B720CE"/>
    <w:rsid w:val="00B72A42"/>
    <w:rsid w:val="00B72D44"/>
    <w:rsid w:val="00B7352F"/>
    <w:rsid w:val="00B7388E"/>
    <w:rsid w:val="00B73F54"/>
    <w:rsid w:val="00B7444E"/>
    <w:rsid w:val="00B74527"/>
    <w:rsid w:val="00B74B79"/>
    <w:rsid w:val="00B755EF"/>
    <w:rsid w:val="00B75BA5"/>
    <w:rsid w:val="00B7675F"/>
    <w:rsid w:val="00B76E8D"/>
    <w:rsid w:val="00B812C1"/>
    <w:rsid w:val="00B81793"/>
    <w:rsid w:val="00B819A8"/>
    <w:rsid w:val="00B82E30"/>
    <w:rsid w:val="00B83490"/>
    <w:rsid w:val="00B86A70"/>
    <w:rsid w:val="00B86EF7"/>
    <w:rsid w:val="00B87431"/>
    <w:rsid w:val="00B9208D"/>
    <w:rsid w:val="00B92CCF"/>
    <w:rsid w:val="00B92EEF"/>
    <w:rsid w:val="00B930A6"/>
    <w:rsid w:val="00B936DC"/>
    <w:rsid w:val="00B93BDB"/>
    <w:rsid w:val="00B94A6B"/>
    <w:rsid w:val="00B95723"/>
    <w:rsid w:val="00B962A3"/>
    <w:rsid w:val="00B96FC2"/>
    <w:rsid w:val="00BA0546"/>
    <w:rsid w:val="00BA0935"/>
    <w:rsid w:val="00BA0B74"/>
    <w:rsid w:val="00BA335A"/>
    <w:rsid w:val="00BA3365"/>
    <w:rsid w:val="00BB0751"/>
    <w:rsid w:val="00BB082B"/>
    <w:rsid w:val="00BB1B12"/>
    <w:rsid w:val="00BB3F0A"/>
    <w:rsid w:val="00BB51BE"/>
    <w:rsid w:val="00BB51DA"/>
    <w:rsid w:val="00BB6450"/>
    <w:rsid w:val="00BB75DC"/>
    <w:rsid w:val="00BB766C"/>
    <w:rsid w:val="00BB77A9"/>
    <w:rsid w:val="00BC32A9"/>
    <w:rsid w:val="00BC3FEC"/>
    <w:rsid w:val="00BC4874"/>
    <w:rsid w:val="00BC603D"/>
    <w:rsid w:val="00BC63A0"/>
    <w:rsid w:val="00BC6642"/>
    <w:rsid w:val="00BC6C70"/>
    <w:rsid w:val="00BC71C4"/>
    <w:rsid w:val="00BC7498"/>
    <w:rsid w:val="00BD0D4B"/>
    <w:rsid w:val="00BD23BF"/>
    <w:rsid w:val="00BD342F"/>
    <w:rsid w:val="00BD3AE1"/>
    <w:rsid w:val="00BD4701"/>
    <w:rsid w:val="00BD4827"/>
    <w:rsid w:val="00BD568F"/>
    <w:rsid w:val="00BD6B04"/>
    <w:rsid w:val="00BD6B72"/>
    <w:rsid w:val="00BE01F1"/>
    <w:rsid w:val="00BE045D"/>
    <w:rsid w:val="00BE0D9A"/>
    <w:rsid w:val="00BE1667"/>
    <w:rsid w:val="00BE1940"/>
    <w:rsid w:val="00BE2019"/>
    <w:rsid w:val="00BE64A6"/>
    <w:rsid w:val="00BE65EE"/>
    <w:rsid w:val="00BE6603"/>
    <w:rsid w:val="00BE6D21"/>
    <w:rsid w:val="00BF07D4"/>
    <w:rsid w:val="00BF08BC"/>
    <w:rsid w:val="00BF0E3D"/>
    <w:rsid w:val="00BF19E3"/>
    <w:rsid w:val="00BF5AD5"/>
    <w:rsid w:val="00BF5B21"/>
    <w:rsid w:val="00BF5F63"/>
    <w:rsid w:val="00BF6759"/>
    <w:rsid w:val="00BF7EF8"/>
    <w:rsid w:val="00C0240B"/>
    <w:rsid w:val="00C02B5D"/>
    <w:rsid w:val="00C038B1"/>
    <w:rsid w:val="00C03A9A"/>
    <w:rsid w:val="00C04374"/>
    <w:rsid w:val="00C04E0D"/>
    <w:rsid w:val="00C057D2"/>
    <w:rsid w:val="00C05E82"/>
    <w:rsid w:val="00C06317"/>
    <w:rsid w:val="00C066BE"/>
    <w:rsid w:val="00C10859"/>
    <w:rsid w:val="00C10EB7"/>
    <w:rsid w:val="00C1159D"/>
    <w:rsid w:val="00C14154"/>
    <w:rsid w:val="00C14566"/>
    <w:rsid w:val="00C146E9"/>
    <w:rsid w:val="00C156F2"/>
    <w:rsid w:val="00C16901"/>
    <w:rsid w:val="00C17CC7"/>
    <w:rsid w:val="00C17F4B"/>
    <w:rsid w:val="00C20EF7"/>
    <w:rsid w:val="00C215B7"/>
    <w:rsid w:val="00C22B2E"/>
    <w:rsid w:val="00C2485A"/>
    <w:rsid w:val="00C25659"/>
    <w:rsid w:val="00C25C82"/>
    <w:rsid w:val="00C25F82"/>
    <w:rsid w:val="00C25FAB"/>
    <w:rsid w:val="00C261BE"/>
    <w:rsid w:val="00C262A8"/>
    <w:rsid w:val="00C26B20"/>
    <w:rsid w:val="00C26BB0"/>
    <w:rsid w:val="00C26D77"/>
    <w:rsid w:val="00C3079F"/>
    <w:rsid w:val="00C30A83"/>
    <w:rsid w:val="00C31384"/>
    <w:rsid w:val="00C32209"/>
    <w:rsid w:val="00C3299C"/>
    <w:rsid w:val="00C34009"/>
    <w:rsid w:val="00C349B0"/>
    <w:rsid w:val="00C35C2E"/>
    <w:rsid w:val="00C35F78"/>
    <w:rsid w:val="00C36313"/>
    <w:rsid w:val="00C36E2B"/>
    <w:rsid w:val="00C41866"/>
    <w:rsid w:val="00C4208D"/>
    <w:rsid w:val="00C43840"/>
    <w:rsid w:val="00C4778D"/>
    <w:rsid w:val="00C50049"/>
    <w:rsid w:val="00C50148"/>
    <w:rsid w:val="00C506F8"/>
    <w:rsid w:val="00C52C60"/>
    <w:rsid w:val="00C546B5"/>
    <w:rsid w:val="00C54DAE"/>
    <w:rsid w:val="00C5675E"/>
    <w:rsid w:val="00C56ADC"/>
    <w:rsid w:val="00C56F7B"/>
    <w:rsid w:val="00C57899"/>
    <w:rsid w:val="00C60A6C"/>
    <w:rsid w:val="00C61382"/>
    <w:rsid w:val="00C61460"/>
    <w:rsid w:val="00C6375F"/>
    <w:rsid w:val="00C63A98"/>
    <w:rsid w:val="00C646AC"/>
    <w:rsid w:val="00C647AD"/>
    <w:rsid w:val="00C64DF4"/>
    <w:rsid w:val="00C65B6D"/>
    <w:rsid w:val="00C65BC7"/>
    <w:rsid w:val="00C65C9D"/>
    <w:rsid w:val="00C661A7"/>
    <w:rsid w:val="00C6626F"/>
    <w:rsid w:val="00C669D8"/>
    <w:rsid w:val="00C66B18"/>
    <w:rsid w:val="00C708B7"/>
    <w:rsid w:val="00C70F29"/>
    <w:rsid w:val="00C72B1D"/>
    <w:rsid w:val="00C73905"/>
    <w:rsid w:val="00C73DA7"/>
    <w:rsid w:val="00C74440"/>
    <w:rsid w:val="00C746E0"/>
    <w:rsid w:val="00C75F2A"/>
    <w:rsid w:val="00C77E40"/>
    <w:rsid w:val="00C80277"/>
    <w:rsid w:val="00C80735"/>
    <w:rsid w:val="00C81FF0"/>
    <w:rsid w:val="00C83DE5"/>
    <w:rsid w:val="00C8655F"/>
    <w:rsid w:val="00C86FA8"/>
    <w:rsid w:val="00C878FB"/>
    <w:rsid w:val="00C9090F"/>
    <w:rsid w:val="00C915BA"/>
    <w:rsid w:val="00C921C8"/>
    <w:rsid w:val="00C92374"/>
    <w:rsid w:val="00C93799"/>
    <w:rsid w:val="00C93B79"/>
    <w:rsid w:val="00C93EED"/>
    <w:rsid w:val="00C94A5F"/>
    <w:rsid w:val="00C974DB"/>
    <w:rsid w:val="00C978C6"/>
    <w:rsid w:val="00C97EA0"/>
    <w:rsid w:val="00CA13F5"/>
    <w:rsid w:val="00CA2465"/>
    <w:rsid w:val="00CA2AAF"/>
    <w:rsid w:val="00CA702D"/>
    <w:rsid w:val="00CA7967"/>
    <w:rsid w:val="00CB0AE2"/>
    <w:rsid w:val="00CB1262"/>
    <w:rsid w:val="00CB1536"/>
    <w:rsid w:val="00CB2BE9"/>
    <w:rsid w:val="00CB3B67"/>
    <w:rsid w:val="00CB569F"/>
    <w:rsid w:val="00CB5788"/>
    <w:rsid w:val="00CB5A6C"/>
    <w:rsid w:val="00CB5B5F"/>
    <w:rsid w:val="00CB6E39"/>
    <w:rsid w:val="00CB77FC"/>
    <w:rsid w:val="00CC00C6"/>
    <w:rsid w:val="00CC02D9"/>
    <w:rsid w:val="00CC0D45"/>
    <w:rsid w:val="00CC1BA4"/>
    <w:rsid w:val="00CC1E5A"/>
    <w:rsid w:val="00CC2C67"/>
    <w:rsid w:val="00CC2DB3"/>
    <w:rsid w:val="00CC3B63"/>
    <w:rsid w:val="00CC3C28"/>
    <w:rsid w:val="00CC4D43"/>
    <w:rsid w:val="00CC5734"/>
    <w:rsid w:val="00CC592E"/>
    <w:rsid w:val="00CC5E15"/>
    <w:rsid w:val="00CC6B63"/>
    <w:rsid w:val="00CC6BF8"/>
    <w:rsid w:val="00CC74D9"/>
    <w:rsid w:val="00CD2B2B"/>
    <w:rsid w:val="00CD354E"/>
    <w:rsid w:val="00CD3A63"/>
    <w:rsid w:val="00CD3B66"/>
    <w:rsid w:val="00CD5E0C"/>
    <w:rsid w:val="00CD5E3F"/>
    <w:rsid w:val="00CD6057"/>
    <w:rsid w:val="00CD6433"/>
    <w:rsid w:val="00CE1172"/>
    <w:rsid w:val="00CE11AB"/>
    <w:rsid w:val="00CE3318"/>
    <w:rsid w:val="00CE4D76"/>
    <w:rsid w:val="00CE4F73"/>
    <w:rsid w:val="00CE5723"/>
    <w:rsid w:val="00CE6920"/>
    <w:rsid w:val="00CE6A17"/>
    <w:rsid w:val="00CF15F5"/>
    <w:rsid w:val="00CF215C"/>
    <w:rsid w:val="00CF25A5"/>
    <w:rsid w:val="00CF2AB3"/>
    <w:rsid w:val="00CF2BD6"/>
    <w:rsid w:val="00CF30FD"/>
    <w:rsid w:val="00CF3910"/>
    <w:rsid w:val="00CF3B61"/>
    <w:rsid w:val="00CF5971"/>
    <w:rsid w:val="00CF7033"/>
    <w:rsid w:val="00CF7C47"/>
    <w:rsid w:val="00D013BF"/>
    <w:rsid w:val="00D01E04"/>
    <w:rsid w:val="00D029F5"/>
    <w:rsid w:val="00D037DA"/>
    <w:rsid w:val="00D03C6A"/>
    <w:rsid w:val="00D04CC4"/>
    <w:rsid w:val="00D0595B"/>
    <w:rsid w:val="00D07042"/>
    <w:rsid w:val="00D07A05"/>
    <w:rsid w:val="00D07B94"/>
    <w:rsid w:val="00D11029"/>
    <w:rsid w:val="00D11317"/>
    <w:rsid w:val="00D1209F"/>
    <w:rsid w:val="00D1244F"/>
    <w:rsid w:val="00D12D5A"/>
    <w:rsid w:val="00D1354A"/>
    <w:rsid w:val="00D13927"/>
    <w:rsid w:val="00D13992"/>
    <w:rsid w:val="00D13B26"/>
    <w:rsid w:val="00D1601B"/>
    <w:rsid w:val="00D16288"/>
    <w:rsid w:val="00D17320"/>
    <w:rsid w:val="00D17CD5"/>
    <w:rsid w:val="00D21811"/>
    <w:rsid w:val="00D22563"/>
    <w:rsid w:val="00D2260E"/>
    <w:rsid w:val="00D229E4"/>
    <w:rsid w:val="00D22EE0"/>
    <w:rsid w:val="00D23BB5"/>
    <w:rsid w:val="00D23E02"/>
    <w:rsid w:val="00D23EB1"/>
    <w:rsid w:val="00D25F36"/>
    <w:rsid w:val="00D264AF"/>
    <w:rsid w:val="00D27B0B"/>
    <w:rsid w:val="00D27C22"/>
    <w:rsid w:val="00D31875"/>
    <w:rsid w:val="00D342A6"/>
    <w:rsid w:val="00D34819"/>
    <w:rsid w:val="00D34BE1"/>
    <w:rsid w:val="00D34F79"/>
    <w:rsid w:val="00D35B5C"/>
    <w:rsid w:val="00D36CEA"/>
    <w:rsid w:val="00D37045"/>
    <w:rsid w:val="00D4048E"/>
    <w:rsid w:val="00D406E1"/>
    <w:rsid w:val="00D415C6"/>
    <w:rsid w:val="00D421DD"/>
    <w:rsid w:val="00D427BB"/>
    <w:rsid w:val="00D43697"/>
    <w:rsid w:val="00D43782"/>
    <w:rsid w:val="00D438D6"/>
    <w:rsid w:val="00D43B11"/>
    <w:rsid w:val="00D43FFA"/>
    <w:rsid w:val="00D4567F"/>
    <w:rsid w:val="00D4685A"/>
    <w:rsid w:val="00D46D81"/>
    <w:rsid w:val="00D47004"/>
    <w:rsid w:val="00D4708A"/>
    <w:rsid w:val="00D47179"/>
    <w:rsid w:val="00D472B4"/>
    <w:rsid w:val="00D521D2"/>
    <w:rsid w:val="00D533D8"/>
    <w:rsid w:val="00D53948"/>
    <w:rsid w:val="00D54077"/>
    <w:rsid w:val="00D544AC"/>
    <w:rsid w:val="00D544C2"/>
    <w:rsid w:val="00D54542"/>
    <w:rsid w:val="00D5489C"/>
    <w:rsid w:val="00D572DC"/>
    <w:rsid w:val="00D57725"/>
    <w:rsid w:val="00D57C61"/>
    <w:rsid w:val="00D605E4"/>
    <w:rsid w:val="00D60CBE"/>
    <w:rsid w:val="00D60DE5"/>
    <w:rsid w:val="00D63487"/>
    <w:rsid w:val="00D63D0B"/>
    <w:rsid w:val="00D6487B"/>
    <w:rsid w:val="00D6552C"/>
    <w:rsid w:val="00D66AF7"/>
    <w:rsid w:val="00D66D45"/>
    <w:rsid w:val="00D67841"/>
    <w:rsid w:val="00D67F90"/>
    <w:rsid w:val="00D701F4"/>
    <w:rsid w:val="00D7099E"/>
    <w:rsid w:val="00D70D5D"/>
    <w:rsid w:val="00D72CBC"/>
    <w:rsid w:val="00D72EB2"/>
    <w:rsid w:val="00D7312F"/>
    <w:rsid w:val="00D734E0"/>
    <w:rsid w:val="00D739B0"/>
    <w:rsid w:val="00D753F1"/>
    <w:rsid w:val="00D75DC1"/>
    <w:rsid w:val="00D76692"/>
    <w:rsid w:val="00D769D9"/>
    <w:rsid w:val="00D76A5D"/>
    <w:rsid w:val="00D81D85"/>
    <w:rsid w:val="00D825CC"/>
    <w:rsid w:val="00D82B8A"/>
    <w:rsid w:val="00D83375"/>
    <w:rsid w:val="00D8394B"/>
    <w:rsid w:val="00D85A4D"/>
    <w:rsid w:val="00D86082"/>
    <w:rsid w:val="00D87CF0"/>
    <w:rsid w:val="00D90166"/>
    <w:rsid w:val="00D90988"/>
    <w:rsid w:val="00D9263B"/>
    <w:rsid w:val="00D93269"/>
    <w:rsid w:val="00D93D6A"/>
    <w:rsid w:val="00D9424C"/>
    <w:rsid w:val="00D94BDD"/>
    <w:rsid w:val="00D94E5A"/>
    <w:rsid w:val="00D96BC9"/>
    <w:rsid w:val="00D9778A"/>
    <w:rsid w:val="00DA1446"/>
    <w:rsid w:val="00DA1674"/>
    <w:rsid w:val="00DA3479"/>
    <w:rsid w:val="00DA349F"/>
    <w:rsid w:val="00DA35B8"/>
    <w:rsid w:val="00DA3C29"/>
    <w:rsid w:val="00DA51DA"/>
    <w:rsid w:val="00DA5516"/>
    <w:rsid w:val="00DA5898"/>
    <w:rsid w:val="00DA7C04"/>
    <w:rsid w:val="00DB0305"/>
    <w:rsid w:val="00DB04A4"/>
    <w:rsid w:val="00DB063F"/>
    <w:rsid w:val="00DB0CC3"/>
    <w:rsid w:val="00DB0F15"/>
    <w:rsid w:val="00DB156F"/>
    <w:rsid w:val="00DB2053"/>
    <w:rsid w:val="00DB24D2"/>
    <w:rsid w:val="00DB26D6"/>
    <w:rsid w:val="00DB26E0"/>
    <w:rsid w:val="00DB2E10"/>
    <w:rsid w:val="00DB3B82"/>
    <w:rsid w:val="00DB4B5F"/>
    <w:rsid w:val="00DB522D"/>
    <w:rsid w:val="00DB5946"/>
    <w:rsid w:val="00DB75A9"/>
    <w:rsid w:val="00DB79DA"/>
    <w:rsid w:val="00DC08AD"/>
    <w:rsid w:val="00DC0A30"/>
    <w:rsid w:val="00DC0C71"/>
    <w:rsid w:val="00DC1B4A"/>
    <w:rsid w:val="00DC1F53"/>
    <w:rsid w:val="00DC296F"/>
    <w:rsid w:val="00DC2E79"/>
    <w:rsid w:val="00DC33D3"/>
    <w:rsid w:val="00DC3D3F"/>
    <w:rsid w:val="00DC3F5B"/>
    <w:rsid w:val="00DC412A"/>
    <w:rsid w:val="00DC44E2"/>
    <w:rsid w:val="00DC6B40"/>
    <w:rsid w:val="00DC7779"/>
    <w:rsid w:val="00DC7C7A"/>
    <w:rsid w:val="00DD06A3"/>
    <w:rsid w:val="00DD06B4"/>
    <w:rsid w:val="00DD0846"/>
    <w:rsid w:val="00DD0957"/>
    <w:rsid w:val="00DD0982"/>
    <w:rsid w:val="00DD236F"/>
    <w:rsid w:val="00DD31CC"/>
    <w:rsid w:val="00DD36F6"/>
    <w:rsid w:val="00DD39DE"/>
    <w:rsid w:val="00DD401E"/>
    <w:rsid w:val="00DD41B8"/>
    <w:rsid w:val="00DD4226"/>
    <w:rsid w:val="00DD4E2B"/>
    <w:rsid w:val="00DD4F5A"/>
    <w:rsid w:val="00DD6DAD"/>
    <w:rsid w:val="00DD7718"/>
    <w:rsid w:val="00DE01BC"/>
    <w:rsid w:val="00DE0A10"/>
    <w:rsid w:val="00DE0BAF"/>
    <w:rsid w:val="00DE0D27"/>
    <w:rsid w:val="00DE12C5"/>
    <w:rsid w:val="00DE1715"/>
    <w:rsid w:val="00DE1BC9"/>
    <w:rsid w:val="00DE1E6B"/>
    <w:rsid w:val="00DE215F"/>
    <w:rsid w:val="00DE26B5"/>
    <w:rsid w:val="00DE282D"/>
    <w:rsid w:val="00DE29D6"/>
    <w:rsid w:val="00DE332F"/>
    <w:rsid w:val="00DE3353"/>
    <w:rsid w:val="00DF03CD"/>
    <w:rsid w:val="00DF1145"/>
    <w:rsid w:val="00DF1344"/>
    <w:rsid w:val="00DF1809"/>
    <w:rsid w:val="00DF1D25"/>
    <w:rsid w:val="00DF2BEE"/>
    <w:rsid w:val="00DF373E"/>
    <w:rsid w:val="00DF3E4B"/>
    <w:rsid w:val="00DF507C"/>
    <w:rsid w:val="00DF50B9"/>
    <w:rsid w:val="00DF7AA5"/>
    <w:rsid w:val="00DF7F0C"/>
    <w:rsid w:val="00DF7F79"/>
    <w:rsid w:val="00E00190"/>
    <w:rsid w:val="00E00DB7"/>
    <w:rsid w:val="00E00F82"/>
    <w:rsid w:val="00E026E9"/>
    <w:rsid w:val="00E02BA7"/>
    <w:rsid w:val="00E04165"/>
    <w:rsid w:val="00E04ABE"/>
    <w:rsid w:val="00E05AB9"/>
    <w:rsid w:val="00E060CA"/>
    <w:rsid w:val="00E06A84"/>
    <w:rsid w:val="00E10030"/>
    <w:rsid w:val="00E10206"/>
    <w:rsid w:val="00E106B0"/>
    <w:rsid w:val="00E10938"/>
    <w:rsid w:val="00E117AD"/>
    <w:rsid w:val="00E11FDA"/>
    <w:rsid w:val="00E12773"/>
    <w:rsid w:val="00E12BF4"/>
    <w:rsid w:val="00E13249"/>
    <w:rsid w:val="00E14547"/>
    <w:rsid w:val="00E14F0F"/>
    <w:rsid w:val="00E15784"/>
    <w:rsid w:val="00E15E03"/>
    <w:rsid w:val="00E16187"/>
    <w:rsid w:val="00E16282"/>
    <w:rsid w:val="00E169DC"/>
    <w:rsid w:val="00E16D87"/>
    <w:rsid w:val="00E200B6"/>
    <w:rsid w:val="00E205DC"/>
    <w:rsid w:val="00E22343"/>
    <w:rsid w:val="00E22FFF"/>
    <w:rsid w:val="00E242B3"/>
    <w:rsid w:val="00E254D1"/>
    <w:rsid w:val="00E26FD7"/>
    <w:rsid w:val="00E30613"/>
    <w:rsid w:val="00E306D6"/>
    <w:rsid w:val="00E311CD"/>
    <w:rsid w:val="00E31494"/>
    <w:rsid w:val="00E31797"/>
    <w:rsid w:val="00E31A32"/>
    <w:rsid w:val="00E32BEF"/>
    <w:rsid w:val="00E34553"/>
    <w:rsid w:val="00E34A02"/>
    <w:rsid w:val="00E34BD0"/>
    <w:rsid w:val="00E3536A"/>
    <w:rsid w:val="00E366A1"/>
    <w:rsid w:val="00E36E84"/>
    <w:rsid w:val="00E3712A"/>
    <w:rsid w:val="00E3750D"/>
    <w:rsid w:val="00E37EC9"/>
    <w:rsid w:val="00E40766"/>
    <w:rsid w:val="00E408E3"/>
    <w:rsid w:val="00E41424"/>
    <w:rsid w:val="00E42295"/>
    <w:rsid w:val="00E42AD6"/>
    <w:rsid w:val="00E42C40"/>
    <w:rsid w:val="00E437AC"/>
    <w:rsid w:val="00E44A4E"/>
    <w:rsid w:val="00E44B9D"/>
    <w:rsid w:val="00E45268"/>
    <w:rsid w:val="00E47D48"/>
    <w:rsid w:val="00E5036C"/>
    <w:rsid w:val="00E50C5B"/>
    <w:rsid w:val="00E50EFD"/>
    <w:rsid w:val="00E51CF7"/>
    <w:rsid w:val="00E52FD3"/>
    <w:rsid w:val="00E53B18"/>
    <w:rsid w:val="00E56DF2"/>
    <w:rsid w:val="00E571B3"/>
    <w:rsid w:val="00E60D34"/>
    <w:rsid w:val="00E62A1A"/>
    <w:rsid w:val="00E635BA"/>
    <w:rsid w:val="00E63FA0"/>
    <w:rsid w:val="00E651D1"/>
    <w:rsid w:val="00E675E9"/>
    <w:rsid w:val="00E6798E"/>
    <w:rsid w:val="00E70699"/>
    <w:rsid w:val="00E71143"/>
    <w:rsid w:val="00E71487"/>
    <w:rsid w:val="00E72542"/>
    <w:rsid w:val="00E72E41"/>
    <w:rsid w:val="00E730CD"/>
    <w:rsid w:val="00E73B4A"/>
    <w:rsid w:val="00E7472D"/>
    <w:rsid w:val="00E74C77"/>
    <w:rsid w:val="00E753DA"/>
    <w:rsid w:val="00E77BC8"/>
    <w:rsid w:val="00E80963"/>
    <w:rsid w:val="00E80983"/>
    <w:rsid w:val="00E81181"/>
    <w:rsid w:val="00E814D4"/>
    <w:rsid w:val="00E82864"/>
    <w:rsid w:val="00E82943"/>
    <w:rsid w:val="00E8348C"/>
    <w:rsid w:val="00E83A18"/>
    <w:rsid w:val="00E85F3B"/>
    <w:rsid w:val="00E8656A"/>
    <w:rsid w:val="00E86998"/>
    <w:rsid w:val="00E8711F"/>
    <w:rsid w:val="00E87F9D"/>
    <w:rsid w:val="00E91168"/>
    <w:rsid w:val="00E919F8"/>
    <w:rsid w:val="00E92684"/>
    <w:rsid w:val="00E9294F"/>
    <w:rsid w:val="00E9372B"/>
    <w:rsid w:val="00E9378C"/>
    <w:rsid w:val="00E94DB0"/>
    <w:rsid w:val="00E96118"/>
    <w:rsid w:val="00E96982"/>
    <w:rsid w:val="00E96BAB"/>
    <w:rsid w:val="00E97B06"/>
    <w:rsid w:val="00E97B9A"/>
    <w:rsid w:val="00E97CE5"/>
    <w:rsid w:val="00EA10E9"/>
    <w:rsid w:val="00EA186C"/>
    <w:rsid w:val="00EA363D"/>
    <w:rsid w:val="00EA38FE"/>
    <w:rsid w:val="00EA3CC7"/>
    <w:rsid w:val="00EA3D96"/>
    <w:rsid w:val="00EA3EC3"/>
    <w:rsid w:val="00EA419C"/>
    <w:rsid w:val="00EA440D"/>
    <w:rsid w:val="00EA4F8E"/>
    <w:rsid w:val="00EA69D7"/>
    <w:rsid w:val="00EA6D51"/>
    <w:rsid w:val="00EA77F1"/>
    <w:rsid w:val="00EB0BDA"/>
    <w:rsid w:val="00EB11B7"/>
    <w:rsid w:val="00EB19EC"/>
    <w:rsid w:val="00EB2BED"/>
    <w:rsid w:val="00EB40B9"/>
    <w:rsid w:val="00EB4487"/>
    <w:rsid w:val="00EB667B"/>
    <w:rsid w:val="00EB6CFF"/>
    <w:rsid w:val="00EC212C"/>
    <w:rsid w:val="00EC4A64"/>
    <w:rsid w:val="00EC4C01"/>
    <w:rsid w:val="00EC4D62"/>
    <w:rsid w:val="00EC4DA2"/>
    <w:rsid w:val="00EC4DF4"/>
    <w:rsid w:val="00EC50B8"/>
    <w:rsid w:val="00EC65FC"/>
    <w:rsid w:val="00EC6E31"/>
    <w:rsid w:val="00EC6EC7"/>
    <w:rsid w:val="00EC7245"/>
    <w:rsid w:val="00ED0661"/>
    <w:rsid w:val="00ED106E"/>
    <w:rsid w:val="00ED364A"/>
    <w:rsid w:val="00ED42C1"/>
    <w:rsid w:val="00ED4A10"/>
    <w:rsid w:val="00ED4E77"/>
    <w:rsid w:val="00ED4FE8"/>
    <w:rsid w:val="00ED62D2"/>
    <w:rsid w:val="00ED630D"/>
    <w:rsid w:val="00ED66B1"/>
    <w:rsid w:val="00EE1478"/>
    <w:rsid w:val="00EE177E"/>
    <w:rsid w:val="00EE1BCB"/>
    <w:rsid w:val="00EE1C86"/>
    <w:rsid w:val="00EE1F70"/>
    <w:rsid w:val="00EE25E1"/>
    <w:rsid w:val="00EE3406"/>
    <w:rsid w:val="00EE37DE"/>
    <w:rsid w:val="00EE411E"/>
    <w:rsid w:val="00EE417F"/>
    <w:rsid w:val="00EE4E4F"/>
    <w:rsid w:val="00EE6056"/>
    <w:rsid w:val="00EE7011"/>
    <w:rsid w:val="00EF0D12"/>
    <w:rsid w:val="00EF159E"/>
    <w:rsid w:val="00EF29A5"/>
    <w:rsid w:val="00EF3893"/>
    <w:rsid w:val="00EF4A7F"/>
    <w:rsid w:val="00EF4D69"/>
    <w:rsid w:val="00EF5DB3"/>
    <w:rsid w:val="00EF6530"/>
    <w:rsid w:val="00EF6E88"/>
    <w:rsid w:val="00EF7857"/>
    <w:rsid w:val="00F002D7"/>
    <w:rsid w:val="00F0080A"/>
    <w:rsid w:val="00F01A32"/>
    <w:rsid w:val="00F02141"/>
    <w:rsid w:val="00F02E6A"/>
    <w:rsid w:val="00F0361E"/>
    <w:rsid w:val="00F04509"/>
    <w:rsid w:val="00F0527F"/>
    <w:rsid w:val="00F074A0"/>
    <w:rsid w:val="00F074EB"/>
    <w:rsid w:val="00F101C3"/>
    <w:rsid w:val="00F112A4"/>
    <w:rsid w:val="00F122AD"/>
    <w:rsid w:val="00F123B6"/>
    <w:rsid w:val="00F134BA"/>
    <w:rsid w:val="00F134F1"/>
    <w:rsid w:val="00F13B98"/>
    <w:rsid w:val="00F1424C"/>
    <w:rsid w:val="00F142A4"/>
    <w:rsid w:val="00F15CD9"/>
    <w:rsid w:val="00F16471"/>
    <w:rsid w:val="00F17E56"/>
    <w:rsid w:val="00F17EBE"/>
    <w:rsid w:val="00F208C4"/>
    <w:rsid w:val="00F20BFA"/>
    <w:rsid w:val="00F20C1F"/>
    <w:rsid w:val="00F21324"/>
    <w:rsid w:val="00F213A6"/>
    <w:rsid w:val="00F21927"/>
    <w:rsid w:val="00F21A4C"/>
    <w:rsid w:val="00F21A56"/>
    <w:rsid w:val="00F22AB0"/>
    <w:rsid w:val="00F232FE"/>
    <w:rsid w:val="00F258CB"/>
    <w:rsid w:val="00F26000"/>
    <w:rsid w:val="00F261DE"/>
    <w:rsid w:val="00F263BF"/>
    <w:rsid w:val="00F26637"/>
    <w:rsid w:val="00F26BB6"/>
    <w:rsid w:val="00F2733E"/>
    <w:rsid w:val="00F2752B"/>
    <w:rsid w:val="00F275EA"/>
    <w:rsid w:val="00F31071"/>
    <w:rsid w:val="00F3118E"/>
    <w:rsid w:val="00F31679"/>
    <w:rsid w:val="00F31EC6"/>
    <w:rsid w:val="00F31FF6"/>
    <w:rsid w:val="00F32350"/>
    <w:rsid w:val="00F3338E"/>
    <w:rsid w:val="00F344C3"/>
    <w:rsid w:val="00F34AB1"/>
    <w:rsid w:val="00F35C05"/>
    <w:rsid w:val="00F36118"/>
    <w:rsid w:val="00F3724D"/>
    <w:rsid w:val="00F4203D"/>
    <w:rsid w:val="00F42CFF"/>
    <w:rsid w:val="00F43DCB"/>
    <w:rsid w:val="00F43F6E"/>
    <w:rsid w:val="00F459D7"/>
    <w:rsid w:val="00F45BE1"/>
    <w:rsid w:val="00F46280"/>
    <w:rsid w:val="00F47652"/>
    <w:rsid w:val="00F479C0"/>
    <w:rsid w:val="00F47E24"/>
    <w:rsid w:val="00F50100"/>
    <w:rsid w:val="00F506F8"/>
    <w:rsid w:val="00F51861"/>
    <w:rsid w:val="00F51C7F"/>
    <w:rsid w:val="00F524EC"/>
    <w:rsid w:val="00F526FE"/>
    <w:rsid w:val="00F528F7"/>
    <w:rsid w:val="00F52EA4"/>
    <w:rsid w:val="00F54CBC"/>
    <w:rsid w:val="00F55A98"/>
    <w:rsid w:val="00F56CF8"/>
    <w:rsid w:val="00F56E30"/>
    <w:rsid w:val="00F57AF7"/>
    <w:rsid w:val="00F57E88"/>
    <w:rsid w:val="00F61278"/>
    <w:rsid w:val="00F61861"/>
    <w:rsid w:val="00F61C65"/>
    <w:rsid w:val="00F61D8F"/>
    <w:rsid w:val="00F61FE1"/>
    <w:rsid w:val="00F62770"/>
    <w:rsid w:val="00F634E1"/>
    <w:rsid w:val="00F63DC7"/>
    <w:rsid w:val="00F64DD1"/>
    <w:rsid w:val="00F65C6B"/>
    <w:rsid w:val="00F66428"/>
    <w:rsid w:val="00F667B8"/>
    <w:rsid w:val="00F66A6B"/>
    <w:rsid w:val="00F66BF5"/>
    <w:rsid w:val="00F70169"/>
    <w:rsid w:val="00F705B0"/>
    <w:rsid w:val="00F71FFF"/>
    <w:rsid w:val="00F72A5F"/>
    <w:rsid w:val="00F72A60"/>
    <w:rsid w:val="00F72F43"/>
    <w:rsid w:val="00F73768"/>
    <w:rsid w:val="00F741F3"/>
    <w:rsid w:val="00F74CEB"/>
    <w:rsid w:val="00F7562A"/>
    <w:rsid w:val="00F76AD1"/>
    <w:rsid w:val="00F8096C"/>
    <w:rsid w:val="00F813D0"/>
    <w:rsid w:val="00F81D39"/>
    <w:rsid w:val="00F8202D"/>
    <w:rsid w:val="00F83868"/>
    <w:rsid w:val="00F84695"/>
    <w:rsid w:val="00F84A16"/>
    <w:rsid w:val="00F84AE2"/>
    <w:rsid w:val="00F84B9A"/>
    <w:rsid w:val="00F85DFD"/>
    <w:rsid w:val="00F86F40"/>
    <w:rsid w:val="00F87696"/>
    <w:rsid w:val="00F87997"/>
    <w:rsid w:val="00F91042"/>
    <w:rsid w:val="00F925FB"/>
    <w:rsid w:val="00F92650"/>
    <w:rsid w:val="00F93172"/>
    <w:rsid w:val="00F9476A"/>
    <w:rsid w:val="00F94D3C"/>
    <w:rsid w:val="00F94D46"/>
    <w:rsid w:val="00F97E90"/>
    <w:rsid w:val="00FA0EB5"/>
    <w:rsid w:val="00FA125F"/>
    <w:rsid w:val="00FA1595"/>
    <w:rsid w:val="00FA195D"/>
    <w:rsid w:val="00FA2B63"/>
    <w:rsid w:val="00FA352A"/>
    <w:rsid w:val="00FA357D"/>
    <w:rsid w:val="00FA4649"/>
    <w:rsid w:val="00FA4737"/>
    <w:rsid w:val="00FA47D3"/>
    <w:rsid w:val="00FA4D51"/>
    <w:rsid w:val="00FA5107"/>
    <w:rsid w:val="00FA54BB"/>
    <w:rsid w:val="00FA55EE"/>
    <w:rsid w:val="00FA56EE"/>
    <w:rsid w:val="00FA694D"/>
    <w:rsid w:val="00FA717F"/>
    <w:rsid w:val="00FA77E6"/>
    <w:rsid w:val="00FB0A44"/>
    <w:rsid w:val="00FB105F"/>
    <w:rsid w:val="00FB14DE"/>
    <w:rsid w:val="00FB209F"/>
    <w:rsid w:val="00FB2122"/>
    <w:rsid w:val="00FB2457"/>
    <w:rsid w:val="00FB24D0"/>
    <w:rsid w:val="00FB2C1A"/>
    <w:rsid w:val="00FB2C5F"/>
    <w:rsid w:val="00FB3136"/>
    <w:rsid w:val="00FB3701"/>
    <w:rsid w:val="00FB4A13"/>
    <w:rsid w:val="00FB5C91"/>
    <w:rsid w:val="00FB6683"/>
    <w:rsid w:val="00FB70C6"/>
    <w:rsid w:val="00FB7BD2"/>
    <w:rsid w:val="00FC02F0"/>
    <w:rsid w:val="00FC0832"/>
    <w:rsid w:val="00FC1B43"/>
    <w:rsid w:val="00FC3B7F"/>
    <w:rsid w:val="00FC43A4"/>
    <w:rsid w:val="00FC4C51"/>
    <w:rsid w:val="00FC4C91"/>
    <w:rsid w:val="00FC6BDF"/>
    <w:rsid w:val="00FC78C1"/>
    <w:rsid w:val="00FD02AF"/>
    <w:rsid w:val="00FD05FF"/>
    <w:rsid w:val="00FD0EA5"/>
    <w:rsid w:val="00FD1A93"/>
    <w:rsid w:val="00FD1F1F"/>
    <w:rsid w:val="00FD2435"/>
    <w:rsid w:val="00FD28EA"/>
    <w:rsid w:val="00FD303D"/>
    <w:rsid w:val="00FD5385"/>
    <w:rsid w:val="00FD56B7"/>
    <w:rsid w:val="00FD738E"/>
    <w:rsid w:val="00FD7F5B"/>
    <w:rsid w:val="00FE1D17"/>
    <w:rsid w:val="00FE410F"/>
    <w:rsid w:val="00FE5877"/>
    <w:rsid w:val="00FE678F"/>
    <w:rsid w:val="00FE71EB"/>
    <w:rsid w:val="00FE7F61"/>
    <w:rsid w:val="00FF01A5"/>
    <w:rsid w:val="00FF0E17"/>
    <w:rsid w:val="00FF16C8"/>
    <w:rsid w:val="00FF18EF"/>
    <w:rsid w:val="00FF22CA"/>
    <w:rsid w:val="00FF2C9C"/>
    <w:rsid w:val="00FF35D9"/>
    <w:rsid w:val="00FF4685"/>
    <w:rsid w:val="00FF47A5"/>
    <w:rsid w:val="00FF4B4E"/>
    <w:rsid w:val="00FF5C76"/>
    <w:rsid w:val="00FF651E"/>
    <w:rsid w:val="00FF69A5"/>
    <w:rsid w:val="00FF7504"/>
    <w:rsid w:val="00FF76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ACF482"/>
  <w15:docId w15:val="{D4AA9EA8-8274-4DE8-B38F-C013AFC0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uiPriority="9"/>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41866"/>
    <w:rPr>
      <w:sz w:val="24"/>
      <w:szCs w:val="24"/>
      <w:lang w:val="en-GB" w:eastAsia="fr-FR"/>
    </w:rPr>
  </w:style>
  <w:style w:type="paragraph" w:styleId="Heading1">
    <w:name w:val="heading 1"/>
    <w:basedOn w:val="Normal"/>
    <w:next w:val="Normal"/>
    <w:link w:val="Heading1Char"/>
    <w:uiPriority w:val="9"/>
    <w:rsid w:val="001F14FD"/>
    <w:pPr>
      <w:keepNext/>
      <w:numPr>
        <w:numId w:val="1"/>
      </w:numPr>
      <w:outlineLvl w:val="0"/>
    </w:pPr>
    <w:rPr>
      <w:b/>
      <w:u w:val="single"/>
    </w:rPr>
  </w:style>
  <w:style w:type="paragraph" w:styleId="Heading2">
    <w:name w:val="heading 2"/>
    <w:aliases w:val="-E Überschrift 2,(SubSection)"/>
    <w:basedOn w:val="Normal"/>
    <w:next w:val="Normal"/>
    <w:link w:val="Heading2Char"/>
    <w:rsid w:val="001F14FD"/>
    <w:pPr>
      <w:keepNext/>
      <w:numPr>
        <w:ilvl w:val="1"/>
        <w:numId w:val="2"/>
      </w:numPr>
      <w:spacing w:before="240" w:after="60"/>
      <w:outlineLvl w:val="1"/>
    </w:pPr>
    <w:rPr>
      <w:rFonts w:ascii="Arial" w:hAnsi="Arial" w:cs="Arial"/>
      <w:b/>
      <w:bCs/>
      <w:i/>
      <w:iCs/>
      <w:sz w:val="28"/>
      <w:szCs w:val="28"/>
    </w:rPr>
  </w:style>
  <w:style w:type="paragraph" w:styleId="Heading3">
    <w:name w:val="heading 3"/>
    <w:aliases w:val="-E Überschrift 3"/>
    <w:basedOn w:val="Normal"/>
    <w:next w:val="Normal"/>
    <w:link w:val="Heading3Char"/>
    <w:rsid w:val="001F14FD"/>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rsid w:val="001F14FD"/>
    <w:pPr>
      <w:keepNext/>
      <w:numPr>
        <w:ilvl w:val="3"/>
        <w:numId w:val="2"/>
      </w:numPr>
      <w:spacing w:before="240" w:after="60"/>
      <w:outlineLvl w:val="3"/>
    </w:pPr>
    <w:rPr>
      <w:b/>
      <w:bCs/>
      <w:sz w:val="28"/>
      <w:szCs w:val="28"/>
    </w:rPr>
  </w:style>
  <w:style w:type="paragraph" w:styleId="Heading5">
    <w:name w:val="heading 5"/>
    <w:basedOn w:val="Normal"/>
    <w:next w:val="Normal"/>
    <w:rsid w:val="001F14FD"/>
    <w:pPr>
      <w:numPr>
        <w:ilvl w:val="4"/>
        <w:numId w:val="2"/>
      </w:numPr>
      <w:spacing w:before="240" w:after="60"/>
      <w:outlineLvl w:val="4"/>
    </w:pPr>
    <w:rPr>
      <w:b/>
      <w:bCs/>
      <w:i/>
      <w:iCs/>
      <w:sz w:val="26"/>
      <w:szCs w:val="26"/>
    </w:rPr>
  </w:style>
  <w:style w:type="paragraph" w:styleId="Heading6">
    <w:name w:val="heading 6"/>
    <w:basedOn w:val="Normal"/>
    <w:next w:val="Normal"/>
    <w:rsid w:val="001F14FD"/>
    <w:pPr>
      <w:numPr>
        <w:ilvl w:val="5"/>
        <w:numId w:val="2"/>
      </w:numPr>
      <w:spacing w:before="240" w:after="60"/>
      <w:outlineLvl w:val="5"/>
    </w:pPr>
    <w:rPr>
      <w:b/>
      <w:bCs/>
      <w:sz w:val="22"/>
      <w:szCs w:val="22"/>
    </w:rPr>
  </w:style>
  <w:style w:type="paragraph" w:styleId="Heading7">
    <w:name w:val="heading 7"/>
    <w:basedOn w:val="Normal"/>
    <w:next w:val="Normal"/>
    <w:rsid w:val="001F14FD"/>
    <w:pPr>
      <w:numPr>
        <w:ilvl w:val="6"/>
        <w:numId w:val="2"/>
      </w:numPr>
      <w:spacing w:before="240" w:after="60"/>
      <w:outlineLvl w:val="6"/>
    </w:pPr>
  </w:style>
  <w:style w:type="paragraph" w:styleId="Heading8">
    <w:name w:val="heading 8"/>
    <w:basedOn w:val="Normal"/>
    <w:next w:val="Normal"/>
    <w:rsid w:val="001F14FD"/>
    <w:pPr>
      <w:numPr>
        <w:ilvl w:val="7"/>
        <w:numId w:val="2"/>
      </w:numPr>
      <w:spacing w:before="240" w:after="60"/>
      <w:outlineLvl w:val="7"/>
    </w:pPr>
    <w:rPr>
      <w:i/>
      <w:iCs/>
    </w:rPr>
  </w:style>
  <w:style w:type="paragraph" w:styleId="Heading9">
    <w:name w:val="heading 9"/>
    <w:basedOn w:val="Normal"/>
    <w:next w:val="Normal"/>
    <w:rsid w:val="001F14FD"/>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F14FD"/>
    <w:pPr>
      <w:tabs>
        <w:tab w:val="center" w:pos="4536"/>
        <w:tab w:val="right" w:pos="9072"/>
      </w:tabs>
    </w:pPr>
  </w:style>
  <w:style w:type="character" w:styleId="PageNumber">
    <w:name w:val="page number"/>
    <w:basedOn w:val="DefaultParagraphFont"/>
    <w:rsid w:val="001F14FD"/>
  </w:style>
  <w:style w:type="paragraph" w:styleId="BodyText">
    <w:name w:val="Body Text"/>
    <w:basedOn w:val="Normal"/>
    <w:rsid w:val="001F14FD"/>
  </w:style>
  <w:style w:type="character" w:styleId="Hyperlink">
    <w:name w:val="Hyperlink"/>
    <w:uiPriority w:val="99"/>
    <w:rsid w:val="001F14FD"/>
    <w:rPr>
      <w:color w:val="0000FF"/>
      <w:u w:val="single"/>
    </w:rPr>
  </w:style>
  <w:style w:type="paragraph" w:styleId="BlockText">
    <w:name w:val="Block Text"/>
    <w:basedOn w:val="Normal"/>
    <w:rsid w:val="001F14FD"/>
    <w:pPr>
      <w:tabs>
        <w:tab w:val="left" w:pos="0"/>
      </w:tabs>
      <w:suppressAutoHyphens/>
      <w:ind w:left="340" w:right="340"/>
      <w:jc w:val="both"/>
    </w:pPr>
    <w:rPr>
      <w:lang w:val="es-ES_tradnl"/>
    </w:rPr>
  </w:style>
  <w:style w:type="paragraph" w:styleId="TOC1">
    <w:name w:val="toc 1"/>
    <w:basedOn w:val="Normal"/>
    <w:next w:val="Normal"/>
    <w:autoRedefine/>
    <w:uiPriority w:val="39"/>
    <w:rsid w:val="006E385B"/>
    <w:pPr>
      <w:tabs>
        <w:tab w:val="left" w:pos="480"/>
        <w:tab w:val="right" w:leader="dot" w:pos="9060"/>
      </w:tabs>
      <w:spacing w:before="240" w:after="120"/>
      <w:ind w:left="425" w:hanging="425"/>
    </w:pPr>
    <w:rPr>
      <w:rFonts w:ascii="Arial" w:hAnsi="Arial"/>
      <w:b/>
      <w:bCs/>
      <w:noProof/>
      <w:szCs w:val="22"/>
    </w:rPr>
  </w:style>
  <w:style w:type="paragraph" w:styleId="TOC2">
    <w:name w:val="toc 2"/>
    <w:basedOn w:val="Normal"/>
    <w:next w:val="Normal"/>
    <w:autoRedefine/>
    <w:uiPriority w:val="39"/>
    <w:rsid w:val="00C73905"/>
    <w:pPr>
      <w:tabs>
        <w:tab w:val="left" w:pos="1134"/>
        <w:tab w:val="right" w:leader="dot" w:pos="9062"/>
      </w:tabs>
      <w:spacing w:before="120" w:after="60"/>
      <w:ind w:left="425"/>
    </w:pPr>
    <w:rPr>
      <w:rFonts w:ascii="Arial" w:hAnsi="Arial"/>
      <w:noProof/>
      <w:szCs w:val="22"/>
      <w14:scene3d>
        <w14:camera w14:prst="orthographicFront"/>
        <w14:lightRig w14:rig="threePt" w14:dir="t">
          <w14:rot w14:lat="0" w14:lon="0" w14:rev="0"/>
        </w14:lightRig>
      </w14:scene3d>
    </w:rPr>
  </w:style>
  <w:style w:type="paragraph" w:styleId="NormalWeb">
    <w:name w:val="Normal (Web)"/>
    <w:basedOn w:val="Normal"/>
    <w:uiPriority w:val="99"/>
    <w:rsid w:val="001F14FD"/>
    <w:pPr>
      <w:spacing w:before="100" w:beforeAutospacing="1" w:after="100" w:afterAutospacing="1"/>
    </w:pPr>
    <w:rPr>
      <w:rFonts w:ascii="Arial" w:hAnsi="Arial" w:cs="Arial"/>
      <w:color w:val="000066"/>
    </w:rPr>
  </w:style>
  <w:style w:type="paragraph" w:styleId="Header">
    <w:name w:val="header"/>
    <w:basedOn w:val="Normal"/>
    <w:link w:val="HeaderChar"/>
    <w:rsid w:val="001F14FD"/>
    <w:pPr>
      <w:tabs>
        <w:tab w:val="center" w:pos="4153"/>
        <w:tab w:val="right" w:pos="8306"/>
      </w:tabs>
    </w:pPr>
  </w:style>
  <w:style w:type="paragraph" w:styleId="TOC3">
    <w:name w:val="toc 3"/>
    <w:basedOn w:val="Normal"/>
    <w:next w:val="Normal"/>
    <w:autoRedefine/>
    <w:uiPriority w:val="39"/>
    <w:rsid w:val="00C73905"/>
    <w:pPr>
      <w:tabs>
        <w:tab w:val="left" w:pos="1985"/>
        <w:tab w:val="right" w:leader="dot" w:pos="9060"/>
      </w:tabs>
      <w:ind w:left="1985" w:hanging="851"/>
    </w:pPr>
    <w:rPr>
      <w:rFonts w:ascii="Arial" w:hAnsi="Arial"/>
      <w:sz w:val="22"/>
    </w:rPr>
  </w:style>
  <w:style w:type="table" w:styleId="TableGrid">
    <w:name w:val="Table Grid"/>
    <w:basedOn w:val="TableNormal"/>
    <w:uiPriority w:val="59"/>
    <w:rsid w:val="001F1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3354D3"/>
    <w:pPr>
      <w:spacing w:after="120"/>
    </w:pPr>
    <w:rPr>
      <w:sz w:val="16"/>
      <w:szCs w:val="16"/>
    </w:rPr>
  </w:style>
  <w:style w:type="character" w:styleId="CommentReference">
    <w:name w:val="annotation reference"/>
    <w:uiPriority w:val="99"/>
    <w:rsid w:val="00AD1D11"/>
    <w:rPr>
      <w:sz w:val="16"/>
      <w:szCs w:val="16"/>
    </w:rPr>
  </w:style>
  <w:style w:type="paragraph" w:styleId="CommentText">
    <w:name w:val="annotation text"/>
    <w:basedOn w:val="Normal"/>
    <w:link w:val="CommentTextChar"/>
    <w:uiPriority w:val="99"/>
    <w:rsid w:val="00AD1D11"/>
  </w:style>
  <w:style w:type="paragraph" w:styleId="CommentSubject">
    <w:name w:val="annotation subject"/>
    <w:basedOn w:val="CommentText"/>
    <w:next w:val="CommentText"/>
    <w:semiHidden/>
    <w:rsid w:val="00AD1D11"/>
    <w:rPr>
      <w:b/>
      <w:bCs/>
    </w:rPr>
  </w:style>
  <w:style w:type="paragraph" w:styleId="BalloonText">
    <w:name w:val="Balloon Text"/>
    <w:basedOn w:val="Normal"/>
    <w:semiHidden/>
    <w:rsid w:val="00AD1D11"/>
    <w:rPr>
      <w:rFonts w:ascii="Tahoma" w:hAnsi="Tahoma" w:cs="Tahoma"/>
      <w:sz w:val="16"/>
      <w:szCs w:val="16"/>
    </w:rPr>
  </w:style>
  <w:style w:type="character" w:styleId="Strong">
    <w:name w:val="Strong"/>
    <w:uiPriority w:val="22"/>
    <w:rsid w:val="00C22B2E"/>
    <w:rPr>
      <w:b/>
      <w:bCs/>
    </w:rPr>
  </w:style>
  <w:style w:type="character" w:styleId="FootnoteReference">
    <w:name w:val="footnote reference"/>
    <w:aliases w:val="Footnote Refernece,BVI fnr,callout,16 Point,Superscript 6 Point,Odwołanie przypisu,Footnote symbol,Footnote Reference Number,Footnote Reference Superscript,SUPERS,Times 10 Point,Exposant 3 Point,Ref,de nota al pie,number,FR"/>
    <w:uiPriority w:val="99"/>
    <w:rsid w:val="00AF30D7"/>
    <w:rPr>
      <w:rFonts w:ascii="Times New Roman" w:hAnsi="Times New Roman"/>
      <w:sz w:val="16"/>
      <w:vertAlign w:val="superscript"/>
    </w:rPr>
  </w:style>
  <w:style w:type="paragraph" w:styleId="ListParagraph">
    <w:name w:val="List Paragraph"/>
    <w:aliases w:val="Sub-heading 2,Heading 2_sj,List Paragraph1,Lijstalinea"/>
    <w:basedOn w:val="Normal"/>
    <w:link w:val="ListParagraphChar"/>
    <w:uiPriority w:val="34"/>
    <w:qFormat/>
    <w:rsid w:val="00433934"/>
    <w:pPr>
      <w:keepLines/>
      <w:widowControl w:val="0"/>
      <w:contextualSpacing/>
      <w:jc w:val="both"/>
    </w:pPr>
    <w:rPr>
      <w:rFonts w:ascii="Century Gothic" w:hAnsi="Century Gothic"/>
      <w:b/>
      <w:szCs w:val="18"/>
    </w:rPr>
  </w:style>
  <w:style w:type="paragraph" w:styleId="FootnoteText">
    <w:name w:val="footnote text"/>
    <w:aliases w:val="Footnote style"/>
    <w:basedOn w:val="Normal"/>
    <w:link w:val="FootnoteTextChar"/>
    <w:uiPriority w:val="99"/>
    <w:rsid w:val="003E744B"/>
    <w:pPr>
      <w:spacing w:after="60"/>
      <w:ind w:left="284" w:hanging="284"/>
    </w:pPr>
    <w:rPr>
      <w:rFonts w:ascii="Arial" w:hAnsi="Arial"/>
      <w:sz w:val="16"/>
      <w:szCs w:val="22"/>
    </w:rPr>
  </w:style>
  <w:style w:type="character" w:customStyle="1" w:styleId="FootnoteTextChar">
    <w:name w:val="Footnote Text Char"/>
    <w:aliases w:val="Footnote style Char"/>
    <w:link w:val="FootnoteText"/>
    <w:uiPriority w:val="99"/>
    <w:rsid w:val="003E744B"/>
    <w:rPr>
      <w:rFonts w:ascii="Arial" w:hAnsi="Arial"/>
      <w:sz w:val="16"/>
      <w:szCs w:val="22"/>
    </w:rPr>
  </w:style>
  <w:style w:type="character" w:styleId="Emphasis">
    <w:name w:val="Emphasis"/>
    <w:uiPriority w:val="20"/>
    <w:rsid w:val="005703D4"/>
    <w:rPr>
      <w:i/>
    </w:rPr>
  </w:style>
  <w:style w:type="paragraph" w:customStyle="1" w:styleId="Default">
    <w:name w:val="Default"/>
    <w:rsid w:val="005703D4"/>
    <w:pPr>
      <w:autoSpaceDE w:val="0"/>
      <w:autoSpaceDN w:val="0"/>
      <w:adjustRightInd w:val="0"/>
    </w:pPr>
    <w:rPr>
      <w:rFonts w:ascii="EUAlbertina" w:eastAsia="Calibri" w:hAnsi="EUAlbertina" w:cs="EUAlbertina"/>
      <w:color w:val="000000"/>
      <w:sz w:val="24"/>
      <w:szCs w:val="24"/>
      <w:lang w:val="fr-BE"/>
    </w:rPr>
  </w:style>
  <w:style w:type="paragraph" w:customStyle="1" w:styleId="MBT">
    <w:name w:val="M BT"/>
    <w:basedOn w:val="Normal"/>
    <w:link w:val="MBTChar"/>
    <w:qFormat/>
    <w:rsid w:val="000C27A0"/>
    <w:pPr>
      <w:widowControl w:val="0"/>
      <w:spacing w:before="120" w:after="120"/>
      <w:jc w:val="both"/>
    </w:pPr>
    <w:rPr>
      <w:rFonts w:ascii="Arial" w:hAnsi="Arial"/>
      <w:bCs/>
      <w:sz w:val="22"/>
      <w:szCs w:val="22"/>
    </w:rPr>
  </w:style>
  <w:style w:type="paragraph" w:customStyle="1" w:styleId="MH1">
    <w:name w:val="M H 1"/>
    <w:basedOn w:val="Heading1"/>
    <w:next w:val="MBT"/>
    <w:link w:val="MH1Char"/>
    <w:qFormat/>
    <w:rsid w:val="00B1706F"/>
    <w:pPr>
      <w:pageBreakBefore/>
      <w:numPr>
        <w:numId w:val="2"/>
      </w:numPr>
      <w:shd w:val="clear" w:color="auto" w:fill="FFFFFF" w:themeFill="background1"/>
      <w:spacing w:before="120" w:after="240"/>
      <w:jc w:val="both"/>
    </w:pPr>
    <w:rPr>
      <w:rFonts w:ascii="Arial" w:hAnsi="Arial"/>
      <w:b w:val="0"/>
      <w:color w:val="7AB800"/>
      <w:sz w:val="36"/>
      <w:u w:val="none"/>
    </w:rPr>
  </w:style>
  <w:style w:type="character" w:customStyle="1" w:styleId="MBTChar">
    <w:name w:val="M BT Char"/>
    <w:link w:val="MBT"/>
    <w:rsid w:val="000C27A0"/>
    <w:rPr>
      <w:rFonts w:ascii="Arial" w:hAnsi="Arial"/>
      <w:bCs/>
      <w:sz w:val="22"/>
      <w:szCs w:val="22"/>
    </w:rPr>
  </w:style>
  <w:style w:type="paragraph" w:customStyle="1" w:styleId="MH1nonumb">
    <w:name w:val="M H 1 no numb"/>
    <w:basedOn w:val="MH1"/>
    <w:next w:val="MBT"/>
    <w:link w:val="MH1nonumbChar"/>
    <w:qFormat/>
    <w:rsid w:val="006C797C"/>
    <w:pPr>
      <w:numPr>
        <w:numId w:val="0"/>
      </w:numPr>
    </w:pPr>
  </w:style>
  <w:style w:type="character" w:customStyle="1" w:styleId="Heading1Char">
    <w:name w:val="Heading 1 Char"/>
    <w:link w:val="Heading1"/>
    <w:rsid w:val="001B161E"/>
    <w:rPr>
      <w:b/>
      <w:u w:val="single"/>
    </w:rPr>
  </w:style>
  <w:style w:type="character" w:customStyle="1" w:styleId="MH1Char">
    <w:name w:val="M H 1 Char"/>
    <w:link w:val="MH1"/>
    <w:rsid w:val="00B1706F"/>
    <w:rPr>
      <w:rFonts w:ascii="Arial" w:hAnsi="Arial"/>
      <w:color w:val="7AB800"/>
      <w:sz w:val="36"/>
      <w:shd w:val="clear" w:color="auto" w:fill="FFFFFF" w:themeFill="background1"/>
    </w:rPr>
  </w:style>
  <w:style w:type="paragraph" w:customStyle="1" w:styleId="MH2">
    <w:name w:val="M H 2"/>
    <w:basedOn w:val="Heading2"/>
    <w:next w:val="MBT"/>
    <w:link w:val="MH2Char"/>
    <w:qFormat/>
    <w:rsid w:val="00B1706F"/>
    <w:pPr>
      <w:tabs>
        <w:tab w:val="clear" w:pos="860"/>
      </w:tabs>
      <w:spacing w:after="240"/>
      <w:ind w:left="567" w:hanging="567"/>
      <w:jc w:val="both"/>
    </w:pPr>
    <w:rPr>
      <w:b w:val="0"/>
      <w:i w:val="0"/>
      <w:color w:val="7AB800"/>
      <w:sz w:val="32"/>
      <w:szCs w:val="22"/>
    </w:rPr>
  </w:style>
  <w:style w:type="character" w:customStyle="1" w:styleId="MH1nonumbChar">
    <w:name w:val="M H 1 no numb Char"/>
    <w:link w:val="MH1nonumb"/>
    <w:rsid w:val="006C797C"/>
    <w:rPr>
      <w:rFonts w:ascii="Century Gothic" w:hAnsi="Century Gothic"/>
      <w:b/>
      <w:caps/>
      <w:sz w:val="24"/>
      <w:szCs w:val="24"/>
      <w:lang w:eastAsia="fr-FR"/>
    </w:rPr>
  </w:style>
  <w:style w:type="paragraph" w:customStyle="1" w:styleId="MH3">
    <w:name w:val="M H 3"/>
    <w:basedOn w:val="Heading3"/>
    <w:next w:val="MBT"/>
    <w:link w:val="MH3Char"/>
    <w:qFormat/>
    <w:rsid w:val="00915354"/>
    <w:pPr>
      <w:tabs>
        <w:tab w:val="clear" w:pos="720"/>
      </w:tabs>
      <w:spacing w:after="240"/>
      <w:ind w:left="709"/>
      <w:jc w:val="both"/>
    </w:pPr>
    <w:rPr>
      <w:b w:val="0"/>
      <w:bCs w:val="0"/>
      <w:color w:val="7FB800"/>
    </w:rPr>
  </w:style>
  <w:style w:type="character" w:customStyle="1" w:styleId="Heading2Char">
    <w:name w:val="Heading 2 Char"/>
    <w:aliases w:val="-E Überschrift 2 Char,(SubSection) Char"/>
    <w:link w:val="Heading2"/>
    <w:rsid w:val="00E71143"/>
    <w:rPr>
      <w:rFonts w:ascii="Arial" w:hAnsi="Arial" w:cs="Arial"/>
      <w:b/>
      <w:bCs/>
      <w:i/>
      <w:iCs/>
      <w:sz w:val="28"/>
      <w:szCs w:val="28"/>
    </w:rPr>
  </w:style>
  <w:style w:type="character" w:customStyle="1" w:styleId="MH2Char">
    <w:name w:val="M H 2 Char"/>
    <w:link w:val="MH2"/>
    <w:rsid w:val="00B1706F"/>
    <w:rPr>
      <w:rFonts w:ascii="Arial" w:hAnsi="Arial" w:cs="Arial"/>
      <w:bCs/>
      <w:iCs/>
      <w:color w:val="7AB800"/>
      <w:sz w:val="32"/>
      <w:szCs w:val="22"/>
    </w:rPr>
  </w:style>
  <w:style w:type="paragraph" w:customStyle="1" w:styleId="MH4">
    <w:name w:val="M H 4"/>
    <w:basedOn w:val="Heading4"/>
    <w:next w:val="MBT"/>
    <w:link w:val="MH4Char"/>
    <w:qFormat/>
    <w:rsid w:val="003A7D8C"/>
    <w:pPr>
      <w:tabs>
        <w:tab w:val="clear" w:pos="1764"/>
        <w:tab w:val="num" w:pos="851"/>
      </w:tabs>
      <w:spacing w:after="240"/>
      <w:ind w:left="864"/>
      <w:jc w:val="both"/>
    </w:pPr>
    <w:rPr>
      <w:rFonts w:ascii="Arial" w:hAnsi="Arial" w:cs="Arial"/>
      <w:b w:val="0"/>
      <w:color w:val="7AB800" w:themeColor="background2"/>
      <w:sz w:val="22"/>
      <w:szCs w:val="22"/>
    </w:rPr>
  </w:style>
  <w:style w:type="character" w:customStyle="1" w:styleId="Heading3Char">
    <w:name w:val="Heading 3 Char"/>
    <w:aliases w:val="-E Überschrift 3 Char"/>
    <w:link w:val="Heading3"/>
    <w:rsid w:val="00037885"/>
    <w:rPr>
      <w:rFonts w:ascii="Arial" w:hAnsi="Arial" w:cs="Arial"/>
      <w:b/>
      <w:bCs/>
      <w:sz w:val="26"/>
      <w:szCs w:val="26"/>
    </w:rPr>
  </w:style>
  <w:style w:type="character" w:customStyle="1" w:styleId="MH3Char">
    <w:name w:val="M H 3 Char"/>
    <w:link w:val="MH3"/>
    <w:rsid w:val="00915354"/>
    <w:rPr>
      <w:rFonts w:ascii="Arial" w:hAnsi="Arial" w:cs="Arial"/>
      <w:color w:val="7FB800"/>
      <w:sz w:val="26"/>
      <w:szCs w:val="26"/>
      <w:lang w:eastAsia="fr-FR"/>
    </w:rPr>
  </w:style>
  <w:style w:type="paragraph" w:customStyle="1" w:styleId="MBTbullets">
    <w:name w:val="M BT bullets"/>
    <w:basedOn w:val="Normal"/>
    <w:link w:val="MBTbulletsChar"/>
    <w:qFormat/>
    <w:rsid w:val="00EE1C86"/>
    <w:pPr>
      <w:widowControl w:val="0"/>
      <w:numPr>
        <w:numId w:val="3"/>
      </w:numPr>
      <w:spacing w:before="120" w:after="120"/>
      <w:ind w:left="426" w:hanging="284"/>
      <w:contextualSpacing/>
      <w:jc w:val="both"/>
    </w:pPr>
    <w:rPr>
      <w:rFonts w:ascii="Arial" w:hAnsi="Arial" w:cs="Arial"/>
      <w:bCs/>
      <w:sz w:val="22"/>
      <w:szCs w:val="22"/>
    </w:rPr>
  </w:style>
  <w:style w:type="character" w:customStyle="1" w:styleId="Heading4Char">
    <w:name w:val="Heading 4 Char"/>
    <w:link w:val="Heading4"/>
    <w:rsid w:val="006B477D"/>
    <w:rPr>
      <w:b/>
      <w:bCs/>
      <w:sz w:val="28"/>
      <w:szCs w:val="28"/>
    </w:rPr>
  </w:style>
  <w:style w:type="character" w:customStyle="1" w:styleId="MH4Char">
    <w:name w:val="M H 4 Char"/>
    <w:link w:val="MH4"/>
    <w:rsid w:val="003A7D8C"/>
    <w:rPr>
      <w:rFonts w:ascii="Arial" w:hAnsi="Arial" w:cs="Arial"/>
      <w:bCs/>
      <w:color w:val="7AB800" w:themeColor="background2"/>
      <w:sz w:val="22"/>
      <w:szCs w:val="22"/>
    </w:rPr>
  </w:style>
  <w:style w:type="paragraph" w:customStyle="1" w:styleId="6B1BA9E48E214D47B5AB4BF5789D4B8B">
    <w:name w:val="6B1BA9E48E214D47B5AB4BF5789D4B8B"/>
    <w:rsid w:val="00BF08BC"/>
    <w:pPr>
      <w:spacing w:after="200" w:line="276" w:lineRule="auto"/>
    </w:pPr>
    <w:rPr>
      <w:rFonts w:ascii="Calibri" w:hAnsi="Calibri"/>
      <w:sz w:val="22"/>
      <w:szCs w:val="22"/>
    </w:rPr>
  </w:style>
  <w:style w:type="character" w:customStyle="1" w:styleId="MBTbulletsChar">
    <w:name w:val="M BT bullets Char"/>
    <w:link w:val="MBTbullets"/>
    <w:rsid w:val="00EE1C86"/>
    <w:rPr>
      <w:rFonts w:ascii="Arial" w:hAnsi="Arial" w:cs="Arial"/>
      <w:bCs/>
      <w:sz w:val="22"/>
      <w:szCs w:val="22"/>
    </w:rPr>
  </w:style>
  <w:style w:type="numbering" w:customStyle="1" w:styleId="MilieuList">
    <w:name w:val="Milieu List"/>
    <w:uiPriority w:val="99"/>
    <w:rsid w:val="00C25C82"/>
    <w:pPr>
      <w:numPr>
        <w:numId w:val="4"/>
      </w:numPr>
    </w:pPr>
  </w:style>
  <w:style w:type="paragraph" w:styleId="Quote">
    <w:name w:val="Quote"/>
    <w:basedOn w:val="Normal"/>
    <w:next w:val="Normal"/>
    <w:link w:val="QuoteChar"/>
    <w:uiPriority w:val="29"/>
    <w:rsid w:val="000522FA"/>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0522FA"/>
    <w:rPr>
      <w:rFonts w:asciiTheme="minorHAnsi" w:eastAsiaTheme="minorEastAsia" w:hAnsiTheme="minorHAnsi" w:cstheme="minorBidi"/>
      <w:i/>
      <w:iCs/>
      <w:color w:val="000000" w:themeColor="text1"/>
      <w:sz w:val="22"/>
      <w:szCs w:val="22"/>
      <w:lang w:val="en-US" w:eastAsia="ja-JP"/>
    </w:rPr>
  </w:style>
  <w:style w:type="paragraph" w:styleId="NoSpacing">
    <w:name w:val="No Spacing"/>
    <w:basedOn w:val="Normal"/>
    <w:uiPriority w:val="1"/>
    <w:rsid w:val="00AE599B"/>
    <w:rPr>
      <w:rFonts w:asciiTheme="minorHAnsi" w:eastAsiaTheme="minorHAnsi" w:hAnsiTheme="minorHAnsi"/>
      <w:color w:val="000000" w:themeColor="text1"/>
      <w:lang w:eastAsia="ja-JP"/>
    </w:rPr>
  </w:style>
  <w:style w:type="paragraph" w:customStyle="1" w:styleId="8A1B7484A002489D88FC21011515A39A">
    <w:name w:val="8A1B7484A002489D88FC21011515A39A"/>
    <w:rsid w:val="00AE599B"/>
    <w:pPr>
      <w:spacing w:after="200" w:line="276" w:lineRule="auto"/>
    </w:pPr>
    <w:rPr>
      <w:rFonts w:asciiTheme="minorHAnsi" w:eastAsiaTheme="minorEastAsia" w:hAnsiTheme="minorHAnsi" w:cstheme="minorBidi"/>
      <w:sz w:val="22"/>
      <w:szCs w:val="22"/>
    </w:rPr>
  </w:style>
  <w:style w:type="paragraph" w:customStyle="1" w:styleId="MMultilevelList">
    <w:name w:val="M Multilevel List"/>
    <w:basedOn w:val="MBTbullets"/>
    <w:link w:val="MMultilevelListChar"/>
    <w:rsid w:val="00AF30D7"/>
    <w:pPr>
      <w:numPr>
        <w:numId w:val="7"/>
      </w:numPr>
    </w:pPr>
  </w:style>
  <w:style w:type="character" w:customStyle="1" w:styleId="MMultilevelListChar">
    <w:name w:val="M Multilevel List Char"/>
    <w:basedOn w:val="MBTbulletsChar"/>
    <w:link w:val="MMultilevelList"/>
    <w:rsid w:val="00AF30D7"/>
    <w:rPr>
      <w:rFonts w:ascii="Arial" w:hAnsi="Arial" w:cs="Arial"/>
      <w:bCs/>
      <w:sz w:val="22"/>
      <w:szCs w:val="22"/>
      <w:lang w:val="en-US"/>
    </w:rPr>
  </w:style>
  <w:style w:type="paragraph" w:customStyle="1" w:styleId="MFootnoteText">
    <w:name w:val="M Footnote Text"/>
    <w:basedOn w:val="FootnoteText"/>
    <w:link w:val="MFootnoteTextChar"/>
    <w:qFormat/>
    <w:rsid w:val="007538A6"/>
    <w:pPr>
      <w:widowControl w:val="0"/>
    </w:pPr>
    <w:rPr>
      <w:bCs/>
      <w:szCs w:val="18"/>
    </w:rPr>
  </w:style>
  <w:style w:type="character" w:customStyle="1" w:styleId="MFootnoteTextChar">
    <w:name w:val="M Footnote Text Char"/>
    <w:basedOn w:val="FootnoteTextChar"/>
    <w:link w:val="MFootnoteText"/>
    <w:rsid w:val="007538A6"/>
    <w:rPr>
      <w:rFonts w:ascii="Arial" w:hAnsi="Arial"/>
      <w:bCs/>
      <w:sz w:val="16"/>
      <w:szCs w:val="18"/>
    </w:rPr>
  </w:style>
  <w:style w:type="character" w:customStyle="1" w:styleId="ListParagraphChar">
    <w:name w:val="List Paragraph Char"/>
    <w:aliases w:val="Sub-heading 2 Char,Heading 2_sj Char,List Paragraph1 Char,Lijstalinea Char"/>
    <w:basedOn w:val="DefaultParagraphFont"/>
    <w:link w:val="ListParagraph"/>
    <w:uiPriority w:val="34"/>
    <w:qFormat/>
    <w:rsid w:val="00433934"/>
    <w:rPr>
      <w:rFonts w:ascii="Century Gothic" w:hAnsi="Century Gothic"/>
      <w:b/>
      <w:szCs w:val="18"/>
    </w:rPr>
  </w:style>
  <w:style w:type="paragraph" w:styleId="Caption">
    <w:name w:val="caption"/>
    <w:aliases w:val="M Caption"/>
    <w:basedOn w:val="Normal"/>
    <w:next w:val="Normal"/>
    <w:link w:val="CaptionChar"/>
    <w:uiPriority w:val="3"/>
    <w:unhideWhenUsed/>
    <w:qFormat/>
    <w:rsid w:val="00686CC5"/>
    <w:pPr>
      <w:keepNext/>
      <w:spacing w:before="240" w:after="120"/>
      <w:jc w:val="both"/>
    </w:pPr>
    <w:rPr>
      <w:rFonts w:ascii="Arial" w:hAnsi="Arial" w:cs="Arial"/>
      <w:b/>
      <w:bCs/>
      <w:color w:val="000000" w:themeColor="text1"/>
      <w:sz w:val="22"/>
      <w:szCs w:val="22"/>
      <w:lang w:val="nl-NL"/>
    </w:rPr>
  </w:style>
  <w:style w:type="paragraph" w:styleId="ListBullet2">
    <w:name w:val="List Bullet 2"/>
    <w:basedOn w:val="Normal"/>
    <w:rsid w:val="005C42D1"/>
    <w:pPr>
      <w:numPr>
        <w:numId w:val="5"/>
      </w:numPr>
      <w:contextualSpacing/>
      <w:jc w:val="both"/>
    </w:pPr>
    <w:rPr>
      <w:sz w:val="22"/>
      <w:szCs w:val="22"/>
    </w:rPr>
  </w:style>
  <w:style w:type="paragraph" w:styleId="TableofFigures">
    <w:name w:val="table of figures"/>
    <w:basedOn w:val="Normal"/>
    <w:next w:val="Normal"/>
    <w:uiPriority w:val="99"/>
    <w:rsid w:val="00C73905"/>
    <w:pPr>
      <w:spacing w:before="120" w:after="60"/>
    </w:pPr>
    <w:rPr>
      <w:rFonts w:ascii="Arial" w:hAnsi="Arial"/>
      <w:sz w:val="22"/>
    </w:rPr>
  </w:style>
  <w:style w:type="character" w:styleId="FollowedHyperlink">
    <w:name w:val="FollowedHyperlink"/>
    <w:basedOn w:val="DefaultParagraphFont"/>
    <w:rsid w:val="00A82B1B"/>
    <w:rPr>
      <w:color w:val="800080" w:themeColor="followedHyperlink"/>
      <w:u w:val="single"/>
    </w:rPr>
  </w:style>
  <w:style w:type="paragraph" w:customStyle="1" w:styleId="DecimalAligned">
    <w:name w:val="Decimal Aligned"/>
    <w:basedOn w:val="Normal"/>
    <w:uiPriority w:val="40"/>
    <w:rsid w:val="00BA3365"/>
    <w:pPr>
      <w:tabs>
        <w:tab w:val="decimal" w:pos="360"/>
      </w:tabs>
      <w:spacing w:after="200" w:line="276" w:lineRule="auto"/>
    </w:pPr>
    <w:rPr>
      <w:rFonts w:asciiTheme="minorHAnsi" w:eastAsiaTheme="minorHAnsi" w:hAnsiTheme="minorHAnsi" w:cstheme="minorBidi"/>
      <w:sz w:val="22"/>
      <w:szCs w:val="22"/>
      <w:lang w:eastAsia="ja-JP"/>
    </w:rPr>
  </w:style>
  <w:style w:type="character" w:styleId="SubtleEmphasis">
    <w:name w:val="Subtle Emphasis"/>
    <w:basedOn w:val="DefaultParagraphFont"/>
    <w:uiPriority w:val="19"/>
    <w:rsid w:val="00BA3365"/>
    <w:rPr>
      <w:i/>
      <w:iCs/>
      <w:color w:val="7F7F7F" w:themeColor="text1" w:themeTint="80"/>
    </w:rPr>
  </w:style>
  <w:style w:type="table" w:styleId="LightShading-Accent1">
    <w:name w:val="Light Shading Accent 1"/>
    <w:basedOn w:val="TableNormal"/>
    <w:uiPriority w:val="60"/>
    <w:rsid w:val="00BA3365"/>
    <w:rPr>
      <w:rFonts w:asciiTheme="minorHAnsi" w:eastAsiaTheme="minorEastAsia" w:hAnsiTheme="minorHAnsi" w:cstheme="minorBidi"/>
      <w:color w:val="9BBB59" w:themeColor="accent1" w:themeShade="BF"/>
      <w:sz w:val="22"/>
      <w:szCs w:val="22"/>
      <w:lang w:eastAsia="ja-JP"/>
    </w:rPr>
    <w:tblPr>
      <w:tblStyleRowBandSize w:val="1"/>
      <w:tblStyleColBandSize w:val="1"/>
      <w:tblBorders>
        <w:top w:val="single" w:sz="8" w:space="0" w:color="C3D69B" w:themeColor="accent1"/>
        <w:bottom w:val="single" w:sz="8" w:space="0" w:color="C3D69B" w:themeColor="accent1"/>
      </w:tblBorders>
    </w:tblPr>
    <w:tblStylePr w:type="firstRow">
      <w:pPr>
        <w:spacing w:before="0" w:after="0" w:line="240" w:lineRule="auto"/>
      </w:pPr>
      <w:rPr>
        <w:b/>
        <w:bCs/>
        <w:color w:val="9BBB59" w:themeColor="accent1" w:themeShade="BF"/>
      </w:rPr>
      <w:tblPr/>
      <w:tcPr>
        <w:tcBorders>
          <w:top w:val="single" w:sz="8" w:space="0" w:color="C3D69B" w:themeColor="accent1"/>
          <w:left w:val="nil"/>
          <w:bottom w:val="single" w:sz="8" w:space="0" w:color="C3D69B" w:themeColor="accent1"/>
          <w:right w:val="nil"/>
          <w:insideH w:val="nil"/>
          <w:insideV w:val="nil"/>
        </w:tcBorders>
      </w:tcPr>
    </w:tblStylePr>
    <w:tblStylePr w:type="lastRow">
      <w:pPr>
        <w:spacing w:before="0" w:after="0" w:line="240" w:lineRule="auto"/>
      </w:pPr>
      <w:rPr>
        <w:b/>
        <w:bCs/>
        <w:color w:val="9BBB59" w:themeColor="accent1" w:themeShade="BF"/>
      </w:rPr>
      <w:tblPr/>
      <w:tcPr>
        <w:tcBorders>
          <w:top w:val="single" w:sz="8" w:space="0" w:color="C3D69B" w:themeColor="accent1"/>
          <w:left w:val="nil"/>
          <w:bottom w:val="single" w:sz="8" w:space="0" w:color="C3D69B" w:themeColor="accent1"/>
          <w:right w:val="nil"/>
          <w:insideH w:val="nil"/>
          <w:insideV w:val="nil"/>
        </w:tcBorders>
      </w:tcPr>
    </w:tblStylePr>
    <w:tblStylePr w:type="firstCol">
      <w:rPr>
        <w:b/>
        <w:bCs/>
        <w:color w:val="9BBB59" w:themeColor="accent1" w:themeShade="BF"/>
      </w:rPr>
    </w:tblStylePr>
    <w:tblStylePr w:type="lastCol">
      <w:rPr>
        <w:b/>
        <w:bCs/>
        <w:color w:val="9BBB59" w:themeColor="accent1" w:themeShade="BF"/>
      </w:rPr>
    </w:tblStylePr>
    <w:tblStylePr w:type="band1Vert">
      <w:tblPr/>
      <w:tcPr>
        <w:tcBorders>
          <w:left w:val="nil"/>
          <w:right w:val="nil"/>
          <w:insideH w:val="nil"/>
          <w:insideV w:val="nil"/>
        </w:tcBorders>
        <w:shd w:val="clear" w:color="auto" w:fill="F0F4E6" w:themeFill="accent1" w:themeFillTint="3F"/>
      </w:tcPr>
    </w:tblStylePr>
    <w:tblStylePr w:type="band1Horz">
      <w:tblPr/>
      <w:tcPr>
        <w:tcBorders>
          <w:left w:val="nil"/>
          <w:right w:val="nil"/>
          <w:insideH w:val="nil"/>
          <w:insideV w:val="nil"/>
        </w:tcBorders>
        <w:shd w:val="clear" w:color="auto" w:fill="F0F4E6" w:themeFill="accent1" w:themeFillTint="3F"/>
      </w:tcPr>
    </w:tblStylePr>
  </w:style>
  <w:style w:type="character" w:customStyle="1" w:styleId="CaptionChar">
    <w:name w:val="Caption Char"/>
    <w:aliases w:val="M Caption Char"/>
    <w:basedOn w:val="DefaultParagraphFont"/>
    <w:link w:val="Caption"/>
    <w:uiPriority w:val="3"/>
    <w:locked/>
    <w:rsid w:val="00686CC5"/>
    <w:rPr>
      <w:rFonts w:ascii="Arial" w:hAnsi="Arial" w:cs="Arial"/>
      <w:b/>
      <w:bCs/>
      <w:color w:val="000000" w:themeColor="text1"/>
      <w:sz w:val="22"/>
      <w:szCs w:val="22"/>
      <w:lang w:val="nl-NL" w:eastAsia="fr-FR"/>
    </w:rPr>
  </w:style>
  <w:style w:type="paragraph" w:customStyle="1" w:styleId="MTabletext">
    <w:name w:val="M Table text"/>
    <w:basedOn w:val="Normal"/>
    <w:qFormat/>
    <w:rsid w:val="00657A35"/>
    <w:pPr>
      <w:spacing w:after="120"/>
      <w:jc w:val="both"/>
    </w:pPr>
    <w:rPr>
      <w:rFonts w:ascii="Arial" w:hAnsi="Arial"/>
      <w:color w:val="000000"/>
      <w:sz w:val="18"/>
      <w:lang w:val="de-DE"/>
    </w:rPr>
  </w:style>
  <w:style w:type="table" w:customStyle="1" w:styleId="MProposalTable">
    <w:name w:val="M Proposal Table"/>
    <w:basedOn w:val="TableNormal"/>
    <w:uiPriority w:val="99"/>
    <w:rsid w:val="0032573F"/>
    <w:pPr>
      <w:spacing w:after="120"/>
      <w:jc w:val="both"/>
    </w:pPr>
    <w:rPr>
      <w:rFonts w:ascii="Arial" w:hAnsi="Arial"/>
      <w:color w:val="000000"/>
      <w:sz w:val="18"/>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Pr>
    <w:tcPr>
      <w:shd w:val="clear" w:color="auto" w:fill="EAF1DD"/>
    </w:tcPr>
    <w:tblStylePr w:type="firstRow">
      <w:pPr>
        <w:keepNext w:val="0"/>
        <w:keepLines w:val="0"/>
        <w:pageBreakBefore w:val="0"/>
        <w:widowControl/>
        <w:suppressLineNumbers w:val="0"/>
        <w:suppressAutoHyphens w:val="0"/>
        <w:wordWrap/>
        <w:spacing w:beforeLines="0" w:before="0" w:beforeAutospacing="0" w:afterLines="0" w:after="120" w:afterAutospacing="0" w:line="240" w:lineRule="auto"/>
        <w:contextualSpacing w:val="0"/>
        <w:mirrorIndents w:val="0"/>
        <w:jc w:val="left"/>
      </w:pPr>
      <w:rPr>
        <w:rFonts w:ascii="Arial" w:hAnsi="Arial"/>
        <w:b/>
        <w:i w:val="0"/>
        <w:caps w:val="0"/>
        <w:smallCaps w:val="0"/>
        <w:strike w:val="0"/>
        <w:dstrike w:val="0"/>
        <w:vanish w:val="0"/>
        <w:color w:val="FFFFFF" w:themeColor="background1"/>
        <w:sz w:val="18"/>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7AB800" w:themeFill="background2"/>
      </w:tcPr>
    </w:tblStylePr>
  </w:style>
  <w:style w:type="paragraph" w:customStyle="1" w:styleId="2Sub-heading">
    <w:name w:val="2. Sub-heading"/>
    <w:basedOn w:val="Heading5"/>
    <w:next w:val="MBT"/>
    <w:link w:val="2Sub-headingChar"/>
    <w:qFormat/>
    <w:rsid w:val="00667E62"/>
    <w:pPr>
      <w:keepNext/>
      <w:numPr>
        <w:ilvl w:val="0"/>
        <w:numId w:val="0"/>
      </w:numPr>
      <w:spacing w:after="120"/>
    </w:pPr>
    <w:rPr>
      <w:rFonts w:ascii="Arial" w:hAnsi="Arial"/>
      <w:b w:val="0"/>
      <w:color w:val="7AB800"/>
      <w:sz w:val="22"/>
      <w:szCs w:val="24"/>
      <w:lang w:val="nl-NL" w:eastAsia="en-GB"/>
    </w:rPr>
  </w:style>
  <w:style w:type="character" w:customStyle="1" w:styleId="2Sub-headingChar">
    <w:name w:val="2. Sub-heading Char"/>
    <w:basedOn w:val="DefaultParagraphFont"/>
    <w:link w:val="2Sub-heading"/>
    <w:rsid w:val="00667E62"/>
    <w:rPr>
      <w:rFonts w:ascii="Arial" w:hAnsi="Arial"/>
      <w:bCs/>
      <w:i/>
      <w:iCs/>
      <w:color w:val="7AB800"/>
      <w:sz w:val="22"/>
      <w:szCs w:val="24"/>
      <w:lang w:val="nl-NL" w:eastAsia="en-GB"/>
    </w:rPr>
  </w:style>
  <w:style w:type="table" w:customStyle="1" w:styleId="GridTable1Light-Accent11">
    <w:name w:val="Grid Table 1 Light - Accent 11"/>
    <w:basedOn w:val="TableNormal"/>
    <w:uiPriority w:val="46"/>
    <w:rsid w:val="00C26D77"/>
    <w:tblPr>
      <w:tblStyleRowBandSize w:val="1"/>
      <w:tblStyleColBandSize w:val="1"/>
      <w:tblBorders>
        <w:top w:val="single" w:sz="4" w:space="0" w:color="E6EED6" w:themeColor="accent1" w:themeTint="66"/>
        <w:left w:val="single" w:sz="4" w:space="0" w:color="E6EED6" w:themeColor="accent1" w:themeTint="66"/>
        <w:bottom w:val="single" w:sz="4" w:space="0" w:color="E6EED6" w:themeColor="accent1" w:themeTint="66"/>
        <w:right w:val="single" w:sz="4" w:space="0" w:color="E6EED6" w:themeColor="accent1" w:themeTint="66"/>
        <w:insideH w:val="single" w:sz="4" w:space="0" w:color="E6EED6" w:themeColor="accent1" w:themeTint="66"/>
        <w:insideV w:val="single" w:sz="4" w:space="0" w:color="E6EED6" w:themeColor="accent1" w:themeTint="66"/>
      </w:tblBorders>
    </w:tblPr>
    <w:tblStylePr w:type="firstRow">
      <w:rPr>
        <w:b/>
        <w:bCs/>
      </w:rPr>
      <w:tblPr/>
      <w:tcPr>
        <w:tcBorders>
          <w:bottom w:val="single" w:sz="12" w:space="0" w:color="DAE6C2" w:themeColor="accent1" w:themeTint="99"/>
        </w:tcBorders>
      </w:tcPr>
    </w:tblStylePr>
    <w:tblStylePr w:type="lastRow">
      <w:rPr>
        <w:b/>
        <w:bCs/>
      </w:rPr>
      <w:tblPr/>
      <w:tcPr>
        <w:tcBorders>
          <w:top w:val="double" w:sz="2" w:space="0" w:color="DAE6C2" w:themeColor="accent1" w:themeTint="99"/>
        </w:tcBorders>
      </w:tcPr>
    </w:tblStylePr>
    <w:tblStylePr w:type="firstCol">
      <w:rPr>
        <w:b/>
        <w:bCs/>
      </w:rPr>
    </w:tblStylePr>
    <w:tblStylePr w:type="lastCol">
      <w:rPr>
        <w:b/>
        <w:bCs/>
      </w:rPr>
    </w:tblStylePr>
  </w:style>
  <w:style w:type="paragraph" w:customStyle="1" w:styleId="MMultileveltable">
    <w:name w:val="M Multilevel table"/>
    <w:basedOn w:val="MBTbullets"/>
    <w:rsid w:val="006A3A64"/>
    <w:pPr>
      <w:numPr>
        <w:numId w:val="8"/>
      </w:numPr>
    </w:pPr>
    <w:rPr>
      <w:rFonts w:ascii="Century Gothic" w:hAnsi="Century Gothic"/>
      <w:sz w:val="18"/>
      <w:szCs w:val="18"/>
    </w:rPr>
  </w:style>
  <w:style w:type="paragraph" w:customStyle="1" w:styleId="MHeaderSection">
    <w:name w:val="M Header Section"/>
    <w:basedOn w:val="Header"/>
    <w:link w:val="MHeaderSectionChar"/>
    <w:rsid w:val="00E7472D"/>
    <w:pPr>
      <w:pBdr>
        <w:bottom w:val="single" w:sz="4" w:space="1" w:color="auto"/>
      </w:pBdr>
      <w:tabs>
        <w:tab w:val="center" w:pos="4320"/>
        <w:tab w:val="right" w:pos="9072"/>
      </w:tabs>
      <w:jc w:val="right"/>
    </w:pPr>
    <w:rPr>
      <w:rFonts w:ascii="Century Gothic" w:hAnsi="Century Gothic"/>
      <w:i/>
      <w:noProof/>
      <w:sz w:val="18"/>
      <w:szCs w:val="18"/>
    </w:rPr>
  </w:style>
  <w:style w:type="paragraph" w:customStyle="1" w:styleId="MFooterSection">
    <w:name w:val="M Footer Section"/>
    <w:basedOn w:val="Footer"/>
    <w:link w:val="MFooterSectionChar"/>
    <w:rsid w:val="00E7472D"/>
    <w:pPr>
      <w:ind w:right="19"/>
      <w:jc w:val="right"/>
    </w:pPr>
    <w:rPr>
      <w:rFonts w:ascii="Century Gothic" w:hAnsi="Century Gothic"/>
      <w:i/>
      <w:sz w:val="18"/>
      <w:szCs w:val="16"/>
    </w:rPr>
  </w:style>
  <w:style w:type="character" w:customStyle="1" w:styleId="MHeaderSectionChar">
    <w:name w:val="M Header Section Char"/>
    <w:basedOn w:val="DefaultParagraphFont"/>
    <w:link w:val="MHeaderSection"/>
    <w:rsid w:val="00E7472D"/>
    <w:rPr>
      <w:rFonts w:ascii="Century Gothic" w:hAnsi="Century Gothic"/>
      <w:i/>
      <w:noProof/>
      <w:sz w:val="18"/>
      <w:szCs w:val="18"/>
    </w:rPr>
  </w:style>
  <w:style w:type="paragraph" w:customStyle="1" w:styleId="MMultilevelBulletedList">
    <w:name w:val="M Multilevel Bulleted List"/>
    <w:basedOn w:val="MBT"/>
    <w:link w:val="MMultilevelBulletedListChar"/>
    <w:rsid w:val="007C1A50"/>
    <w:pPr>
      <w:numPr>
        <w:numId w:val="10"/>
      </w:numPr>
      <w:spacing w:before="0"/>
      <w:ind w:left="1008"/>
    </w:pPr>
  </w:style>
  <w:style w:type="character" w:customStyle="1" w:styleId="HeaderChar">
    <w:name w:val="Header Char"/>
    <w:basedOn w:val="DefaultParagraphFont"/>
    <w:link w:val="Header"/>
    <w:rsid w:val="00F51861"/>
    <w:rPr>
      <w:sz w:val="24"/>
      <w:szCs w:val="24"/>
      <w:lang w:eastAsia="fr-FR"/>
    </w:rPr>
  </w:style>
  <w:style w:type="character" w:customStyle="1" w:styleId="MFooterSectionChar">
    <w:name w:val="M Footer Section Char"/>
    <w:basedOn w:val="HeaderChar"/>
    <w:link w:val="MFooterSection"/>
    <w:rsid w:val="00E7472D"/>
    <w:rPr>
      <w:rFonts w:ascii="Century Gothic" w:hAnsi="Century Gothic"/>
      <w:i/>
      <w:sz w:val="18"/>
      <w:szCs w:val="16"/>
      <w:lang w:eastAsia="fr-FR"/>
    </w:rPr>
  </w:style>
  <w:style w:type="paragraph" w:customStyle="1" w:styleId="MMultilevelBulletedListSub">
    <w:name w:val="M Multilevel Bulleted List Sub"/>
    <w:basedOn w:val="MBT"/>
    <w:link w:val="MMultilevelBulletedListSubChar"/>
    <w:rsid w:val="00E7472D"/>
    <w:pPr>
      <w:numPr>
        <w:numId w:val="11"/>
      </w:numPr>
    </w:pPr>
  </w:style>
  <w:style w:type="character" w:customStyle="1" w:styleId="MMultilevelBulletedListChar">
    <w:name w:val="M Multilevel Bulleted List Char"/>
    <w:basedOn w:val="MBTChar"/>
    <w:link w:val="MMultilevelBulletedList"/>
    <w:rsid w:val="007C1A50"/>
    <w:rPr>
      <w:rFonts w:ascii="Arial" w:hAnsi="Arial"/>
      <w:bCs/>
      <w:sz w:val="22"/>
      <w:szCs w:val="22"/>
      <w:lang w:val="en-US" w:eastAsia="fr-FR"/>
    </w:rPr>
  </w:style>
  <w:style w:type="table" w:customStyle="1" w:styleId="ListTable3-Accent31">
    <w:name w:val="List Table 3 - Accent 31"/>
    <w:basedOn w:val="TableNormal"/>
    <w:uiPriority w:val="48"/>
    <w:rsid w:val="00C26D77"/>
    <w:tblPr>
      <w:tblStyleRowBandSize w:val="1"/>
      <w:tblStyleColBandSize w:val="1"/>
      <w:tblBorders>
        <w:top w:val="single" w:sz="4" w:space="0" w:color="DBDBDB" w:themeColor="accent3"/>
        <w:left w:val="single" w:sz="4" w:space="0" w:color="DBDBDB" w:themeColor="accent3"/>
        <w:bottom w:val="single" w:sz="4" w:space="0" w:color="DBDBDB" w:themeColor="accent3"/>
        <w:right w:val="single" w:sz="4" w:space="0" w:color="DBDBDB" w:themeColor="accent3"/>
      </w:tblBorders>
    </w:tblPr>
    <w:tblStylePr w:type="firstRow">
      <w:rPr>
        <w:b/>
        <w:bCs/>
        <w:color w:val="FFFFFF" w:themeColor="background1"/>
      </w:rPr>
      <w:tblPr/>
      <w:tcPr>
        <w:shd w:val="clear" w:color="auto" w:fill="DBDBDB" w:themeFill="accent3"/>
      </w:tcPr>
    </w:tblStylePr>
    <w:tblStylePr w:type="lastRow">
      <w:rPr>
        <w:b/>
        <w:bCs/>
      </w:rPr>
      <w:tblPr/>
      <w:tcPr>
        <w:tcBorders>
          <w:top w:val="double" w:sz="4" w:space="0" w:color="DBDBD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DBDB" w:themeColor="accent3"/>
          <w:right w:val="single" w:sz="4" w:space="0" w:color="DBDBDB" w:themeColor="accent3"/>
        </w:tcBorders>
      </w:tcPr>
    </w:tblStylePr>
    <w:tblStylePr w:type="band1Horz">
      <w:tblPr/>
      <w:tcPr>
        <w:tcBorders>
          <w:top w:val="single" w:sz="4" w:space="0" w:color="DBDBDB" w:themeColor="accent3"/>
          <w:bottom w:val="single" w:sz="4" w:space="0" w:color="DBDBD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DBDB" w:themeColor="accent3"/>
          <w:left w:val="nil"/>
        </w:tcBorders>
      </w:tcPr>
    </w:tblStylePr>
    <w:tblStylePr w:type="swCell">
      <w:tblPr/>
      <w:tcPr>
        <w:tcBorders>
          <w:top w:val="double" w:sz="4" w:space="0" w:color="DBDBDB" w:themeColor="accent3"/>
          <w:right w:val="nil"/>
        </w:tcBorders>
      </w:tcPr>
    </w:tblStylePr>
  </w:style>
  <w:style w:type="character" w:customStyle="1" w:styleId="MMultilevelBulletedListSubChar">
    <w:name w:val="M Multilevel Bulleted List Sub Char"/>
    <w:basedOn w:val="MMultilevelBulletedListChar"/>
    <w:link w:val="MMultilevelBulletedListSub"/>
    <w:rsid w:val="000977EA"/>
    <w:rPr>
      <w:rFonts w:ascii="Arial" w:hAnsi="Arial"/>
      <w:bCs/>
      <w:sz w:val="22"/>
      <w:szCs w:val="22"/>
      <w:lang w:val="en-US" w:eastAsia="fr-FR"/>
    </w:rPr>
  </w:style>
  <w:style w:type="table" w:customStyle="1" w:styleId="GridTable4-Accent31">
    <w:name w:val="Grid Table 4 - Accent 31"/>
    <w:basedOn w:val="TableNormal"/>
    <w:uiPriority w:val="49"/>
    <w:rsid w:val="00C26D77"/>
    <w:tblPr>
      <w:tblStyleRowBandSize w:val="1"/>
      <w:tblStyleColBandSize w:val="1"/>
      <w:tblBorders>
        <w:top w:val="single" w:sz="4" w:space="0" w:color="E9E9E9" w:themeColor="accent3" w:themeTint="99"/>
        <w:left w:val="single" w:sz="4" w:space="0" w:color="E9E9E9" w:themeColor="accent3" w:themeTint="99"/>
        <w:bottom w:val="single" w:sz="4" w:space="0" w:color="E9E9E9" w:themeColor="accent3" w:themeTint="99"/>
        <w:right w:val="single" w:sz="4" w:space="0" w:color="E9E9E9" w:themeColor="accent3" w:themeTint="99"/>
        <w:insideH w:val="single" w:sz="4" w:space="0" w:color="E9E9E9" w:themeColor="accent3" w:themeTint="99"/>
        <w:insideV w:val="single" w:sz="4" w:space="0" w:color="E9E9E9" w:themeColor="accent3" w:themeTint="99"/>
      </w:tblBorders>
    </w:tblPr>
    <w:tblStylePr w:type="firstRow">
      <w:rPr>
        <w:b/>
        <w:bCs/>
        <w:color w:val="FFFFFF" w:themeColor="background1"/>
      </w:rPr>
      <w:tblPr/>
      <w:tcPr>
        <w:tcBorders>
          <w:top w:val="single" w:sz="4" w:space="0" w:color="DBDBDB" w:themeColor="accent3"/>
          <w:left w:val="single" w:sz="4" w:space="0" w:color="DBDBDB" w:themeColor="accent3"/>
          <w:bottom w:val="single" w:sz="4" w:space="0" w:color="DBDBDB" w:themeColor="accent3"/>
          <w:right w:val="single" w:sz="4" w:space="0" w:color="DBDBDB" w:themeColor="accent3"/>
          <w:insideH w:val="nil"/>
          <w:insideV w:val="nil"/>
        </w:tcBorders>
        <w:shd w:val="clear" w:color="auto" w:fill="DBDBDB" w:themeFill="accent3"/>
      </w:tcPr>
    </w:tblStylePr>
    <w:tblStylePr w:type="lastRow">
      <w:rPr>
        <w:b/>
        <w:bCs/>
      </w:rPr>
      <w:tblPr/>
      <w:tcPr>
        <w:tcBorders>
          <w:top w:val="double" w:sz="4" w:space="0" w:color="DBDBDB" w:themeColor="accent3"/>
        </w:tcBorders>
      </w:tcPr>
    </w:tblStylePr>
    <w:tblStylePr w:type="firstCol">
      <w:rPr>
        <w:b/>
        <w:bCs/>
      </w:rPr>
    </w:tblStylePr>
    <w:tblStylePr w:type="lastCol">
      <w:rPr>
        <w:b/>
        <w:bCs/>
      </w:rPr>
    </w:tblStylePr>
    <w:tblStylePr w:type="band1Vert">
      <w:tblPr/>
      <w:tcPr>
        <w:shd w:val="clear" w:color="auto" w:fill="F7F7F7" w:themeFill="accent3" w:themeFillTint="33"/>
      </w:tcPr>
    </w:tblStylePr>
    <w:tblStylePr w:type="band1Horz">
      <w:tblPr/>
      <w:tcPr>
        <w:shd w:val="clear" w:color="auto" w:fill="F7F7F7" w:themeFill="accent3" w:themeFillTint="33"/>
      </w:tcPr>
    </w:tblStylePr>
  </w:style>
  <w:style w:type="paragraph" w:styleId="ListBullet3">
    <w:name w:val="List Bullet 3"/>
    <w:basedOn w:val="Normal"/>
    <w:semiHidden/>
    <w:unhideWhenUsed/>
    <w:rsid w:val="00F51861"/>
    <w:pPr>
      <w:numPr>
        <w:numId w:val="9"/>
      </w:numPr>
      <w:contextualSpacing/>
    </w:pPr>
  </w:style>
  <w:style w:type="table" w:customStyle="1" w:styleId="GridTable4-Accent11">
    <w:name w:val="Grid Table 4 - Accent 11"/>
    <w:basedOn w:val="TableNormal"/>
    <w:uiPriority w:val="49"/>
    <w:rsid w:val="00C26D77"/>
    <w:tblPr>
      <w:tblStyleRowBandSize w:val="1"/>
      <w:tblStyleColBandSize w:val="1"/>
      <w:tblBorders>
        <w:top w:val="single" w:sz="4" w:space="0" w:color="DAE6C2" w:themeColor="accent1" w:themeTint="99"/>
        <w:left w:val="single" w:sz="4" w:space="0" w:color="DAE6C2" w:themeColor="accent1" w:themeTint="99"/>
        <w:bottom w:val="single" w:sz="4" w:space="0" w:color="DAE6C2" w:themeColor="accent1" w:themeTint="99"/>
        <w:right w:val="single" w:sz="4" w:space="0" w:color="DAE6C2" w:themeColor="accent1" w:themeTint="99"/>
        <w:insideH w:val="single" w:sz="4" w:space="0" w:color="DAE6C2" w:themeColor="accent1" w:themeTint="99"/>
        <w:insideV w:val="single" w:sz="4" w:space="0" w:color="DAE6C2" w:themeColor="accent1" w:themeTint="99"/>
      </w:tblBorders>
    </w:tblPr>
    <w:tblStylePr w:type="firstRow">
      <w:rPr>
        <w:b/>
        <w:bCs/>
        <w:color w:val="FFFFFF" w:themeColor="background1"/>
      </w:rPr>
      <w:tblPr/>
      <w:tcPr>
        <w:tcBorders>
          <w:top w:val="single" w:sz="4" w:space="0" w:color="C3D69B" w:themeColor="accent1"/>
          <w:left w:val="single" w:sz="4" w:space="0" w:color="C3D69B" w:themeColor="accent1"/>
          <w:bottom w:val="single" w:sz="4" w:space="0" w:color="C3D69B" w:themeColor="accent1"/>
          <w:right w:val="single" w:sz="4" w:space="0" w:color="C3D69B" w:themeColor="accent1"/>
          <w:insideH w:val="nil"/>
          <w:insideV w:val="nil"/>
        </w:tcBorders>
        <w:shd w:val="clear" w:color="auto" w:fill="C3D69B" w:themeFill="accent1"/>
      </w:tcPr>
    </w:tblStylePr>
    <w:tblStylePr w:type="lastRow">
      <w:rPr>
        <w:b/>
        <w:bCs/>
      </w:rPr>
      <w:tblPr/>
      <w:tcPr>
        <w:tcBorders>
          <w:top w:val="double" w:sz="4" w:space="0" w:color="C3D69B" w:themeColor="accent1"/>
        </w:tcBorders>
      </w:tcPr>
    </w:tblStylePr>
    <w:tblStylePr w:type="firstCol">
      <w:rPr>
        <w:b/>
        <w:bCs/>
      </w:rPr>
    </w:tblStylePr>
    <w:tblStylePr w:type="lastCol">
      <w:rPr>
        <w:b/>
        <w:bCs/>
      </w:rPr>
    </w:tblStylePr>
    <w:tblStylePr w:type="band1Vert">
      <w:tblPr/>
      <w:tcPr>
        <w:shd w:val="clear" w:color="auto" w:fill="F2F6EA" w:themeFill="accent1" w:themeFillTint="33"/>
      </w:tcPr>
    </w:tblStylePr>
    <w:tblStylePr w:type="band1Horz">
      <w:tblPr/>
      <w:tcPr>
        <w:shd w:val="clear" w:color="auto" w:fill="F2F6EA" w:themeFill="accent1" w:themeFillTint="33"/>
      </w:tcPr>
    </w:tblStylePr>
  </w:style>
  <w:style w:type="paragraph" w:customStyle="1" w:styleId="MTableHeader">
    <w:name w:val="M Table Header"/>
    <w:basedOn w:val="Header"/>
    <w:link w:val="MTableHeaderChar"/>
    <w:rsid w:val="00115C55"/>
    <w:rPr>
      <w:rFonts w:ascii="Century Gothic" w:hAnsi="Century Gothic"/>
      <w:b/>
      <w:bCs/>
      <w:color w:val="FFFFFF" w:themeColor="background1"/>
      <w:sz w:val="18"/>
    </w:rPr>
  </w:style>
  <w:style w:type="table" w:styleId="TableProfessional">
    <w:name w:val="Table Professional"/>
    <w:basedOn w:val="TableNormal"/>
    <w:semiHidden/>
    <w:unhideWhenUsed/>
    <w:rsid w:val="008C2C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MTableHeaderChar">
    <w:name w:val="M Table Header Char"/>
    <w:basedOn w:val="DefaultParagraphFont"/>
    <w:link w:val="MTableHeader"/>
    <w:rsid w:val="00115C55"/>
    <w:rPr>
      <w:rFonts w:ascii="Century Gothic" w:hAnsi="Century Gothic"/>
      <w:b/>
      <w:bCs/>
      <w:color w:val="FFFFFF" w:themeColor="background1"/>
      <w:sz w:val="18"/>
      <w:szCs w:val="24"/>
    </w:rPr>
  </w:style>
  <w:style w:type="paragraph" w:styleId="TOCHeading">
    <w:name w:val="TOC Heading"/>
    <w:basedOn w:val="Heading1"/>
    <w:next w:val="Normal"/>
    <w:uiPriority w:val="39"/>
    <w:unhideWhenUsed/>
    <w:rsid w:val="00CB5A6C"/>
    <w:pPr>
      <w:keepLines/>
      <w:numPr>
        <w:numId w:val="0"/>
      </w:numPr>
      <w:spacing w:before="240" w:line="259" w:lineRule="auto"/>
      <w:outlineLvl w:val="9"/>
    </w:pPr>
    <w:rPr>
      <w:rFonts w:asciiTheme="majorHAnsi" w:eastAsiaTheme="majorEastAsia" w:hAnsiTheme="majorHAnsi" w:cstheme="majorBidi"/>
      <w:b w:val="0"/>
      <w:color w:val="9BBB59" w:themeColor="accent1" w:themeShade="BF"/>
      <w:sz w:val="32"/>
      <w:szCs w:val="32"/>
      <w:u w:val="none"/>
    </w:rPr>
  </w:style>
  <w:style w:type="paragraph" w:styleId="TOC4">
    <w:name w:val="toc 4"/>
    <w:basedOn w:val="Normal"/>
    <w:next w:val="Normal"/>
    <w:autoRedefine/>
    <w:uiPriority w:val="39"/>
    <w:unhideWhenUsed/>
    <w:rsid w:val="006A2051"/>
    <w:pPr>
      <w:tabs>
        <w:tab w:val="right" w:leader="dot" w:pos="9060"/>
      </w:tabs>
      <w:spacing w:after="100"/>
      <w:ind w:left="2977" w:hanging="992"/>
    </w:pPr>
    <w:rPr>
      <w:rFonts w:ascii="Century Gothic" w:hAnsi="Century Gothic"/>
    </w:rPr>
  </w:style>
  <w:style w:type="paragraph" w:styleId="TOC5">
    <w:name w:val="toc 5"/>
    <w:basedOn w:val="Normal"/>
    <w:next w:val="Normal"/>
    <w:autoRedefine/>
    <w:uiPriority w:val="39"/>
    <w:unhideWhenUsed/>
    <w:rsid w:val="00CB5A6C"/>
    <w:pPr>
      <w:spacing w:after="100"/>
      <w:ind w:left="960"/>
    </w:pPr>
  </w:style>
  <w:style w:type="paragraph" w:customStyle="1" w:styleId="MTablebullets">
    <w:name w:val="M Table bullets"/>
    <w:basedOn w:val="MBTbullets"/>
    <w:link w:val="MTablebulletsChar"/>
    <w:qFormat/>
    <w:rsid w:val="00337551"/>
    <w:pPr>
      <w:spacing w:before="0"/>
    </w:pPr>
    <w:rPr>
      <w:color w:val="000000"/>
      <w:sz w:val="18"/>
      <w:szCs w:val="20"/>
    </w:rPr>
  </w:style>
  <w:style w:type="character" w:customStyle="1" w:styleId="MTablebulletsChar">
    <w:name w:val="M Table bullets Char"/>
    <w:basedOn w:val="DefaultParagraphFont"/>
    <w:link w:val="MTablebullets"/>
    <w:rsid w:val="00337551"/>
    <w:rPr>
      <w:rFonts w:ascii="Arial" w:hAnsi="Arial" w:cs="Arial"/>
      <w:bCs/>
      <w:color w:val="000000"/>
      <w:sz w:val="18"/>
    </w:rPr>
  </w:style>
  <w:style w:type="paragraph" w:customStyle="1" w:styleId="direction-ltr">
    <w:name w:val="direction-ltr"/>
    <w:basedOn w:val="Normal"/>
    <w:rsid w:val="00EC6EC7"/>
    <w:pPr>
      <w:spacing w:before="100" w:beforeAutospacing="1" w:after="100" w:afterAutospacing="1"/>
    </w:pPr>
    <w:rPr>
      <w:lang w:val="fr-BE" w:eastAsia="fr-BE"/>
    </w:rPr>
  </w:style>
  <w:style w:type="character" w:customStyle="1" w:styleId="CommentTextChar">
    <w:name w:val="Comment Text Char"/>
    <w:basedOn w:val="DefaultParagraphFont"/>
    <w:link w:val="CommentText"/>
    <w:uiPriority w:val="99"/>
    <w:rsid w:val="005343D3"/>
  </w:style>
  <w:style w:type="numbering" w:customStyle="1" w:styleId="LFO2">
    <w:name w:val="LFO2"/>
    <w:basedOn w:val="NoList"/>
    <w:rsid w:val="00340FFD"/>
    <w:pPr>
      <w:numPr>
        <w:numId w:val="16"/>
      </w:numPr>
    </w:pPr>
  </w:style>
  <w:style w:type="numbering" w:customStyle="1" w:styleId="LFO21">
    <w:name w:val="LFO21"/>
    <w:basedOn w:val="NoList"/>
    <w:rsid w:val="00340FFD"/>
  </w:style>
  <w:style w:type="numbering" w:customStyle="1" w:styleId="LFO22">
    <w:name w:val="LFO22"/>
    <w:basedOn w:val="NoList"/>
    <w:rsid w:val="00340FFD"/>
  </w:style>
  <w:style w:type="numbering" w:customStyle="1" w:styleId="LFO23">
    <w:name w:val="LFO23"/>
    <w:basedOn w:val="NoList"/>
    <w:rsid w:val="00340FFD"/>
    <w:pPr>
      <w:numPr>
        <w:numId w:val="1"/>
      </w:numPr>
    </w:pPr>
  </w:style>
  <w:style w:type="numbering" w:customStyle="1" w:styleId="LFO39">
    <w:name w:val="LFO39"/>
    <w:basedOn w:val="NoList"/>
    <w:rsid w:val="00340FFD"/>
    <w:pPr>
      <w:numPr>
        <w:numId w:val="12"/>
      </w:numPr>
    </w:pPr>
  </w:style>
  <w:style w:type="table" w:customStyle="1" w:styleId="Calendar2">
    <w:name w:val="Calendar 2"/>
    <w:basedOn w:val="TableNormal"/>
    <w:uiPriority w:val="99"/>
    <w:qFormat/>
    <w:rsid w:val="00991C00"/>
    <w:pPr>
      <w:jc w:val="center"/>
    </w:pPr>
    <w:rPr>
      <w:rFonts w:asciiTheme="minorHAnsi" w:eastAsiaTheme="minorEastAsia" w:hAnsiTheme="minorHAnsi" w:cstheme="minorBidi"/>
      <w:sz w:val="28"/>
      <w:szCs w:val="28"/>
    </w:rPr>
    <w:tblPr>
      <w:tblBorders>
        <w:insideV w:val="single" w:sz="4" w:space="0" w:color="DAE6C2" w:themeColor="accent1" w:themeTint="99"/>
      </w:tblBorders>
    </w:tblPr>
    <w:tblStylePr w:type="firstRow">
      <w:rPr>
        <w:rFonts w:asciiTheme="majorHAnsi" w:hAnsiTheme="majorHAnsi"/>
        <w:b w:val="0"/>
        <w:i w:val="0"/>
        <w:caps/>
        <w:smallCaps w:val="0"/>
        <w:color w:val="C3D69B" w:themeColor="accent1"/>
        <w:spacing w:val="20"/>
        <w:sz w:val="32"/>
      </w:rPr>
      <w:tblPr/>
      <w:tcPr>
        <w:tcBorders>
          <w:top w:val="nil"/>
          <w:left w:val="nil"/>
          <w:bottom w:val="nil"/>
          <w:right w:val="nil"/>
          <w:insideH w:val="nil"/>
          <w:insideV w:val="nil"/>
          <w:tl2br w:val="nil"/>
          <w:tr2bl w:val="nil"/>
        </w:tcBorders>
      </w:tcPr>
    </w:tblStylePr>
  </w:style>
  <w:style w:type="table" w:styleId="LightList-Accent3">
    <w:name w:val="Light List Accent 3"/>
    <w:basedOn w:val="TableNormal"/>
    <w:uiPriority w:val="61"/>
    <w:rsid w:val="002762A4"/>
    <w:rPr>
      <w:rFonts w:asciiTheme="minorHAnsi" w:eastAsiaTheme="minorEastAsia" w:hAnsiTheme="minorHAnsi" w:cstheme="minorBidi"/>
      <w:sz w:val="22"/>
      <w:szCs w:val="22"/>
    </w:rPr>
    <w:tblPr>
      <w:tblStyleRowBandSize w:val="1"/>
      <w:tblStyleColBandSize w:val="1"/>
      <w:tblBorders>
        <w:top w:val="single" w:sz="8" w:space="0" w:color="DBDBDB" w:themeColor="accent3"/>
        <w:left w:val="single" w:sz="8" w:space="0" w:color="DBDBDB" w:themeColor="accent3"/>
        <w:bottom w:val="single" w:sz="8" w:space="0" w:color="DBDBDB" w:themeColor="accent3"/>
        <w:right w:val="single" w:sz="8" w:space="0" w:color="DBDBDB" w:themeColor="accent3"/>
      </w:tblBorders>
    </w:tblPr>
    <w:tblStylePr w:type="firstRow">
      <w:pPr>
        <w:spacing w:before="0" w:after="0" w:line="240" w:lineRule="auto"/>
      </w:pPr>
      <w:rPr>
        <w:b/>
        <w:bCs/>
        <w:color w:val="FFFFFF" w:themeColor="background1"/>
      </w:rPr>
      <w:tblPr/>
      <w:tcPr>
        <w:shd w:val="clear" w:color="auto" w:fill="DBDBDB" w:themeFill="accent3"/>
      </w:tcPr>
    </w:tblStylePr>
    <w:tblStylePr w:type="lastRow">
      <w:pPr>
        <w:spacing w:before="0" w:after="0" w:line="240" w:lineRule="auto"/>
      </w:pPr>
      <w:rPr>
        <w:b/>
        <w:bCs/>
      </w:rPr>
      <w:tblPr/>
      <w:tcPr>
        <w:tcBorders>
          <w:top w:val="double" w:sz="6" w:space="0" w:color="DBDBDB" w:themeColor="accent3"/>
          <w:left w:val="single" w:sz="8" w:space="0" w:color="DBDBDB" w:themeColor="accent3"/>
          <w:bottom w:val="single" w:sz="8" w:space="0" w:color="DBDBDB" w:themeColor="accent3"/>
          <w:right w:val="single" w:sz="8" w:space="0" w:color="DBDBDB" w:themeColor="accent3"/>
        </w:tcBorders>
      </w:tcPr>
    </w:tblStylePr>
    <w:tblStylePr w:type="firstCol">
      <w:rPr>
        <w:b/>
        <w:bCs/>
      </w:rPr>
    </w:tblStylePr>
    <w:tblStylePr w:type="lastCol">
      <w:rPr>
        <w:b/>
        <w:bCs/>
      </w:rPr>
    </w:tblStylePr>
    <w:tblStylePr w:type="band1Vert">
      <w:tblPr/>
      <w:tcPr>
        <w:tcBorders>
          <w:top w:val="single" w:sz="8" w:space="0" w:color="DBDBDB" w:themeColor="accent3"/>
          <w:left w:val="single" w:sz="8" w:space="0" w:color="DBDBDB" w:themeColor="accent3"/>
          <w:bottom w:val="single" w:sz="8" w:space="0" w:color="DBDBDB" w:themeColor="accent3"/>
          <w:right w:val="single" w:sz="8" w:space="0" w:color="DBDBDB" w:themeColor="accent3"/>
        </w:tcBorders>
      </w:tcPr>
    </w:tblStylePr>
    <w:tblStylePr w:type="band1Horz">
      <w:tblPr/>
      <w:tcPr>
        <w:tcBorders>
          <w:top w:val="single" w:sz="8" w:space="0" w:color="DBDBDB" w:themeColor="accent3"/>
          <w:left w:val="single" w:sz="8" w:space="0" w:color="DBDBDB" w:themeColor="accent3"/>
          <w:bottom w:val="single" w:sz="8" w:space="0" w:color="DBDBDB" w:themeColor="accent3"/>
          <w:right w:val="single" w:sz="8" w:space="0" w:color="DBDBDB" w:themeColor="accent3"/>
        </w:tcBorders>
      </w:tcPr>
    </w:tblStylePr>
  </w:style>
  <w:style w:type="table" w:styleId="LightList-Accent1">
    <w:name w:val="Light List Accent 1"/>
    <w:basedOn w:val="TableNormal"/>
    <w:uiPriority w:val="61"/>
    <w:rsid w:val="0027675D"/>
    <w:tblPr>
      <w:tblStyleRowBandSize w:val="1"/>
      <w:tblStyleColBandSize w:val="1"/>
      <w:tblBorders>
        <w:top w:val="single" w:sz="8" w:space="0" w:color="C3D69B" w:themeColor="accent1"/>
        <w:left w:val="single" w:sz="8" w:space="0" w:color="C3D69B" w:themeColor="accent1"/>
        <w:bottom w:val="single" w:sz="8" w:space="0" w:color="C3D69B" w:themeColor="accent1"/>
        <w:right w:val="single" w:sz="8" w:space="0" w:color="C3D69B" w:themeColor="accent1"/>
      </w:tblBorders>
    </w:tblPr>
    <w:tblStylePr w:type="firstRow">
      <w:pPr>
        <w:spacing w:before="0" w:after="0" w:line="240" w:lineRule="auto"/>
      </w:pPr>
      <w:rPr>
        <w:b/>
        <w:bCs/>
        <w:color w:val="FFFFFF" w:themeColor="background1"/>
      </w:rPr>
      <w:tblPr/>
      <w:tcPr>
        <w:shd w:val="clear" w:color="auto" w:fill="C3D69B" w:themeFill="accent1"/>
      </w:tcPr>
    </w:tblStylePr>
    <w:tblStylePr w:type="lastRow">
      <w:pPr>
        <w:spacing w:before="0" w:after="0" w:line="240" w:lineRule="auto"/>
      </w:pPr>
      <w:rPr>
        <w:b/>
        <w:bCs/>
      </w:rPr>
      <w:tblPr/>
      <w:tcPr>
        <w:tcBorders>
          <w:top w:val="double" w:sz="6" w:space="0" w:color="C3D69B" w:themeColor="accent1"/>
          <w:left w:val="single" w:sz="8" w:space="0" w:color="C3D69B" w:themeColor="accent1"/>
          <w:bottom w:val="single" w:sz="8" w:space="0" w:color="C3D69B" w:themeColor="accent1"/>
          <w:right w:val="single" w:sz="8" w:space="0" w:color="C3D69B" w:themeColor="accent1"/>
        </w:tcBorders>
      </w:tcPr>
    </w:tblStylePr>
    <w:tblStylePr w:type="firstCol">
      <w:rPr>
        <w:b/>
        <w:bCs/>
      </w:rPr>
    </w:tblStylePr>
    <w:tblStylePr w:type="lastCol">
      <w:rPr>
        <w:b/>
        <w:bCs/>
      </w:rPr>
    </w:tblStylePr>
    <w:tblStylePr w:type="band1Vert">
      <w:tblPr/>
      <w:tcPr>
        <w:tcBorders>
          <w:top w:val="single" w:sz="8" w:space="0" w:color="C3D69B" w:themeColor="accent1"/>
          <w:left w:val="single" w:sz="8" w:space="0" w:color="C3D69B" w:themeColor="accent1"/>
          <w:bottom w:val="single" w:sz="8" w:space="0" w:color="C3D69B" w:themeColor="accent1"/>
          <w:right w:val="single" w:sz="8" w:space="0" w:color="C3D69B" w:themeColor="accent1"/>
        </w:tcBorders>
      </w:tcPr>
    </w:tblStylePr>
    <w:tblStylePr w:type="band1Horz">
      <w:tblPr/>
      <w:tcPr>
        <w:tcBorders>
          <w:top w:val="single" w:sz="8" w:space="0" w:color="C3D69B" w:themeColor="accent1"/>
          <w:left w:val="single" w:sz="8" w:space="0" w:color="C3D69B" w:themeColor="accent1"/>
          <w:bottom w:val="single" w:sz="8" w:space="0" w:color="C3D69B" w:themeColor="accent1"/>
          <w:right w:val="single" w:sz="8" w:space="0" w:color="C3D69B" w:themeColor="accent1"/>
        </w:tcBorders>
      </w:tcPr>
    </w:tblStylePr>
  </w:style>
  <w:style w:type="table" w:styleId="GridTable5Dark-Accent2">
    <w:name w:val="Grid Table 5 Dark Accent 2"/>
    <w:basedOn w:val="TableNormal"/>
    <w:uiPriority w:val="50"/>
    <w:rsid w:val="008716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D2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37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37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37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3735" w:themeFill="accent2"/>
      </w:tcPr>
    </w:tblStylePr>
    <w:tblStylePr w:type="band1Vert">
      <w:tblPr/>
      <w:tcPr>
        <w:shd w:val="clear" w:color="auto" w:fill="DEA5A4" w:themeFill="accent2" w:themeFillTint="66"/>
      </w:tcPr>
    </w:tblStylePr>
    <w:tblStylePr w:type="band1Horz">
      <w:tblPr/>
      <w:tcPr>
        <w:shd w:val="clear" w:color="auto" w:fill="DEA5A4" w:themeFill="accent2" w:themeFillTint="66"/>
      </w:tcPr>
    </w:tblStylePr>
  </w:style>
  <w:style w:type="table" w:customStyle="1" w:styleId="GridTable4-Accent111">
    <w:name w:val="Grid Table 4 - Accent 111"/>
    <w:basedOn w:val="TableNormal"/>
    <w:uiPriority w:val="49"/>
    <w:rsid w:val="00F72A5F"/>
    <w:rPr>
      <w:rFonts w:asciiTheme="minorHAnsi" w:hAnsiTheme="minorHAnsi" w:cstheme="minorBidi"/>
      <w:sz w:val="22"/>
      <w:szCs w:val="22"/>
    </w:rPr>
    <w:tblPr>
      <w:tblStyleRowBandSize w:val="1"/>
      <w:tblStyleColBandSize w:val="1"/>
      <w:tblBorders>
        <w:top w:val="single" w:sz="4" w:space="0" w:color="DAE6C2" w:themeColor="accent1" w:themeTint="99"/>
        <w:left w:val="single" w:sz="4" w:space="0" w:color="DAE6C2" w:themeColor="accent1" w:themeTint="99"/>
        <w:bottom w:val="single" w:sz="4" w:space="0" w:color="DAE6C2" w:themeColor="accent1" w:themeTint="99"/>
        <w:right w:val="single" w:sz="4" w:space="0" w:color="DAE6C2" w:themeColor="accent1" w:themeTint="99"/>
        <w:insideH w:val="single" w:sz="4" w:space="0" w:color="DAE6C2" w:themeColor="accent1" w:themeTint="99"/>
        <w:insideV w:val="single" w:sz="4" w:space="0" w:color="DAE6C2" w:themeColor="accent1" w:themeTint="99"/>
      </w:tblBorders>
    </w:tblPr>
    <w:tblStylePr w:type="firstRow">
      <w:rPr>
        <w:b/>
        <w:bCs/>
        <w:color w:val="FFFFFF" w:themeColor="background1"/>
      </w:rPr>
      <w:tblPr/>
      <w:tcPr>
        <w:tcBorders>
          <w:top w:val="single" w:sz="4" w:space="0" w:color="C3D69B" w:themeColor="accent1"/>
          <w:left w:val="single" w:sz="4" w:space="0" w:color="C3D69B" w:themeColor="accent1"/>
          <w:bottom w:val="single" w:sz="4" w:space="0" w:color="C3D69B" w:themeColor="accent1"/>
          <w:right w:val="single" w:sz="4" w:space="0" w:color="C3D69B" w:themeColor="accent1"/>
          <w:insideH w:val="nil"/>
          <w:insideV w:val="nil"/>
        </w:tcBorders>
        <w:shd w:val="clear" w:color="auto" w:fill="C3D69B" w:themeFill="accent1"/>
      </w:tcPr>
    </w:tblStylePr>
    <w:tblStylePr w:type="lastRow">
      <w:rPr>
        <w:b/>
        <w:bCs/>
      </w:rPr>
      <w:tblPr/>
      <w:tcPr>
        <w:tcBorders>
          <w:top w:val="double" w:sz="4" w:space="0" w:color="C3D69B" w:themeColor="accent1"/>
        </w:tcBorders>
      </w:tcPr>
    </w:tblStylePr>
    <w:tblStylePr w:type="firstCol">
      <w:rPr>
        <w:b/>
        <w:bCs/>
      </w:rPr>
    </w:tblStylePr>
    <w:tblStylePr w:type="lastCol">
      <w:rPr>
        <w:b/>
        <w:bCs/>
      </w:rPr>
    </w:tblStylePr>
    <w:tblStylePr w:type="band1Vert">
      <w:tblPr/>
      <w:tcPr>
        <w:shd w:val="clear" w:color="auto" w:fill="F2F6EA" w:themeFill="accent1" w:themeFillTint="33"/>
      </w:tcPr>
    </w:tblStylePr>
    <w:tblStylePr w:type="band1Horz">
      <w:tblPr/>
      <w:tcPr>
        <w:shd w:val="clear" w:color="auto" w:fill="F2F6EA" w:themeFill="accent1" w:themeFillTint="33"/>
      </w:tcPr>
    </w:tblStylePr>
  </w:style>
  <w:style w:type="table" w:customStyle="1" w:styleId="GridTable1Light-Accent31">
    <w:name w:val="Grid Table 1 Light - Accent 31"/>
    <w:basedOn w:val="TableNormal"/>
    <w:uiPriority w:val="46"/>
    <w:rsid w:val="004A6A41"/>
    <w:tblPr>
      <w:tblStyleRowBandSize w:val="1"/>
      <w:tblStyleColBandSize w:val="1"/>
      <w:tblBorders>
        <w:top w:val="single" w:sz="4" w:space="0" w:color="F0F0F0" w:themeColor="accent3" w:themeTint="66"/>
        <w:left w:val="single" w:sz="4" w:space="0" w:color="F0F0F0" w:themeColor="accent3" w:themeTint="66"/>
        <w:bottom w:val="single" w:sz="4" w:space="0" w:color="F0F0F0" w:themeColor="accent3" w:themeTint="66"/>
        <w:right w:val="single" w:sz="4" w:space="0" w:color="F0F0F0" w:themeColor="accent3" w:themeTint="66"/>
        <w:insideH w:val="single" w:sz="4" w:space="0" w:color="F0F0F0" w:themeColor="accent3" w:themeTint="66"/>
        <w:insideV w:val="single" w:sz="4" w:space="0" w:color="F0F0F0" w:themeColor="accent3" w:themeTint="66"/>
      </w:tblBorders>
    </w:tblPr>
    <w:tblStylePr w:type="firstRow">
      <w:rPr>
        <w:b/>
        <w:bCs/>
      </w:rPr>
      <w:tblPr/>
      <w:tcPr>
        <w:tcBorders>
          <w:bottom w:val="single" w:sz="12" w:space="0" w:color="E9E9E9" w:themeColor="accent3" w:themeTint="99"/>
        </w:tcBorders>
      </w:tcPr>
    </w:tblStylePr>
    <w:tblStylePr w:type="lastRow">
      <w:rPr>
        <w:b/>
        <w:bCs/>
      </w:rPr>
      <w:tblPr/>
      <w:tcPr>
        <w:tcBorders>
          <w:top w:val="double" w:sz="2" w:space="0" w:color="E9E9E9" w:themeColor="accent3" w:themeTint="99"/>
        </w:tcBorders>
      </w:tcPr>
    </w:tblStylePr>
    <w:tblStylePr w:type="firstCol">
      <w:rPr>
        <w:b/>
        <w:bCs/>
      </w:rPr>
    </w:tblStylePr>
    <w:tblStylePr w:type="lastCol">
      <w:rPr>
        <w:b/>
        <w:bCs/>
      </w:rPr>
    </w:tblStylePr>
  </w:style>
  <w:style w:type="table" w:customStyle="1" w:styleId="GridTable2-Accent31">
    <w:name w:val="Grid Table 2 - Accent 31"/>
    <w:basedOn w:val="TableNormal"/>
    <w:uiPriority w:val="47"/>
    <w:rsid w:val="004A6A41"/>
    <w:tblPr>
      <w:tblStyleRowBandSize w:val="1"/>
      <w:tblStyleColBandSize w:val="1"/>
      <w:tblBorders>
        <w:top w:val="single" w:sz="2" w:space="0" w:color="E9E9E9" w:themeColor="accent3" w:themeTint="99"/>
        <w:bottom w:val="single" w:sz="2" w:space="0" w:color="E9E9E9" w:themeColor="accent3" w:themeTint="99"/>
        <w:insideH w:val="single" w:sz="2" w:space="0" w:color="E9E9E9" w:themeColor="accent3" w:themeTint="99"/>
        <w:insideV w:val="single" w:sz="2" w:space="0" w:color="E9E9E9" w:themeColor="accent3" w:themeTint="99"/>
      </w:tblBorders>
    </w:tblPr>
    <w:tblStylePr w:type="firstRow">
      <w:rPr>
        <w:b/>
        <w:bCs/>
      </w:rPr>
      <w:tblPr/>
      <w:tcPr>
        <w:tcBorders>
          <w:top w:val="nil"/>
          <w:bottom w:val="single" w:sz="12" w:space="0" w:color="E9E9E9" w:themeColor="accent3" w:themeTint="99"/>
          <w:insideH w:val="nil"/>
          <w:insideV w:val="nil"/>
        </w:tcBorders>
        <w:shd w:val="clear" w:color="auto" w:fill="FFFFFF" w:themeFill="background1"/>
      </w:tcPr>
    </w:tblStylePr>
    <w:tblStylePr w:type="lastRow">
      <w:rPr>
        <w:b/>
        <w:bCs/>
      </w:rPr>
      <w:tblPr/>
      <w:tcPr>
        <w:tcBorders>
          <w:top w:val="double" w:sz="2" w:space="0" w:color="E9E9E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7F7" w:themeFill="accent3" w:themeFillTint="33"/>
      </w:tcPr>
    </w:tblStylePr>
    <w:tblStylePr w:type="band1Horz">
      <w:tblPr/>
      <w:tcPr>
        <w:shd w:val="clear" w:color="auto" w:fill="F7F7F7" w:themeFill="accent3" w:themeFillTint="33"/>
      </w:tcPr>
    </w:tblStylePr>
  </w:style>
  <w:style w:type="table" w:customStyle="1" w:styleId="TableGrid1">
    <w:name w:val="Table Grid1"/>
    <w:basedOn w:val="TableNormal"/>
    <w:next w:val="TableGrid"/>
    <w:uiPriority w:val="39"/>
    <w:rsid w:val="00531C71"/>
    <w:rPr>
      <w:rFonts w:ascii="Calibri" w:eastAsia="Calibri" w:hAnsi="Calibri"/>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87ECC"/>
    <w:rPr>
      <w:color w:val="605E5C"/>
      <w:shd w:val="clear" w:color="auto" w:fill="E1DFDD"/>
    </w:rPr>
  </w:style>
  <w:style w:type="paragraph" w:styleId="TOC6">
    <w:name w:val="toc 6"/>
    <w:basedOn w:val="Normal"/>
    <w:next w:val="Normal"/>
    <w:autoRedefine/>
    <w:uiPriority w:val="39"/>
    <w:unhideWhenUsed/>
    <w:rsid w:val="00284B0D"/>
    <w:pPr>
      <w:spacing w:after="100" w:line="259" w:lineRule="auto"/>
      <w:ind w:left="1100"/>
    </w:pPr>
    <w:rPr>
      <w:rFonts w:asciiTheme="minorHAnsi" w:eastAsiaTheme="minorEastAsia" w:hAnsiTheme="minorHAnsi" w:cstheme="minorBidi"/>
      <w:sz w:val="22"/>
      <w:szCs w:val="22"/>
      <w:lang w:val="fr-BE" w:eastAsia="fr-BE"/>
    </w:rPr>
  </w:style>
  <w:style w:type="paragraph" w:styleId="TOC7">
    <w:name w:val="toc 7"/>
    <w:basedOn w:val="Normal"/>
    <w:next w:val="Normal"/>
    <w:autoRedefine/>
    <w:uiPriority w:val="39"/>
    <w:unhideWhenUsed/>
    <w:rsid w:val="00284B0D"/>
    <w:pPr>
      <w:spacing w:after="100" w:line="259" w:lineRule="auto"/>
      <w:ind w:left="1320"/>
    </w:pPr>
    <w:rPr>
      <w:rFonts w:asciiTheme="minorHAnsi" w:eastAsiaTheme="minorEastAsia" w:hAnsiTheme="minorHAnsi" w:cstheme="minorBidi"/>
      <w:sz w:val="22"/>
      <w:szCs w:val="22"/>
      <w:lang w:val="fr-BE" w:eastAsia="fr-BE"/>
    </w:rPr>
  </w:style>
  <w:style w:type="paragraph" w:styleId="TOC8">
    <w:name w:val="toc 8"/>
    <w:basedOn w:val="Normal"/>
    <w:next w:val="Normal"/>
    <w:autoRedefine/>
    <w:uiPriority w:val="39"/>
    <w:unhideWhenUsed/>
    <w:rsid w:val="00284B0D"/>
    <w:pPr>
      <w:spacing w:after="100" w:line="259" w:lineRule="auto"/>
      <w:ind w:left="1540"/>
    </w:pPr>
    <w:rPr>
      <w:rFonts w:asciiTheme="minorHAnsi" w:eastAsiaTheme="minorEastAsia" w:hAnsiTheme="minorHAnsi" w:cstheme="minorBidi"/>
      <w:sz w:val="22"/>
      <w:szCs w:val="22"/>
      <w:lang w:val="fr-BE" w:eastAsia="fr-BE"/>
    </w:rPr>
  </w:style>
  <w:style w:type="paragraph" w:styleId="TOC9">
    <w:name w:val="toc 9"/>
    <w:basedOn w:val="Normal"/>
    <w:next w:val="Normal"/>
    <w:autoRedefine/>
    <w:uiPriority w:val="39"/>
    <w:unhideWhenUsed/>
    <w:rsid w:val="00284B0D"/>
    <w:pPr>
      <w:spacing w:after="100" w:line="259" w:lineRule="auto"/>
      <w:ind w:left="1760"/>
    </w:pPr>
    <w:rPr>
      <w:rFonts w:asciiTheme="minorHAnsi" w:eastAsiaTheme="minorEastAsia" w:hAnsiTheme="minorHAnsi" w:cstheme="minorBidi"/>
      <w:sz w:val="22"/>
      <w:szCs w:val="22"/>
      <w:lang w:val="fr-BE" w:eastAsia="fr-BE"/>
    </w:rPr>
  </w:style>
  <w:style w:type="character" w:customStyle="1" w:styleId="UnresolvedMention2">
    <w:name w:val="Unresolved Mention2"/>
    <w:basedOn w:val="DefaultParagraphFont"/>
    <w:uiPriority w:val="99"/>
    <w:semiHidden/>
    <w:unhideWhenUsed/>
    <w:rsid w:val="00284B0D"/>
    <w:rPr>
      <w:color w:val="605E5C"/>
      <w:shd w:val="clear" w:color="auto" w:fill="E1DFDD"/>
    </w:rPr>
  </w:style>
  <w:style w:type="paragraph" w:customStyle="1" w:styleId="MBulletpoints">
    <w:name w:val="M Bullet points"/>
    <w:basedOn w:val="MBTbullets"/>
    <w:link w:val="MBulletpointsChar"/>
    <w:rsid w:val="00244B4E"/>
  </w:style>
  <w:style w:type="character" w:customStyle="1" w:styleId="MBulletpointsChar">
    <w:name w:val="M Bullet points Char"/>
    <w:basedOn w:val="MBTbulletsChar"/>
    <w:link w:val="MBulletpoints"/>
    <w:rsid w:val="00244B4E"/>
    <w:rPr>
      <w:rFonts w:ascii="Arial" w:hAnsi="Arial" w:cs="Arial"/>
      <w:bCs/>
      <w:sz w:val="22"/>
      <w:szCs w:val="22"/>
      <w:lang w:val="en-US"/>
    </w:rPr>
  </w:style>
  <w:style w:type="table" w:customStyle="1" w:styleId="MBox">
    <w:name w:val="M Box"/>
    <w:basedOn w:val="TableNormal"/>
    <w:uiPriority w:val="99"/>
    <w:rsid w:val="00E45268"/>
    <w:pPr>
      <w:spacing w:before="120" w:after="120"/>
    </w:pPr>
    <w:rPr>
      <w:color w:val="000000" w:themeColor="text1"/>
    </w:rPr>
    <w:tblPr>
      <w:tblBorders>
        <w:top w:val="single" w:sz="4" w:space="0" w:color="auto"/>
        <w:left w:val="single" w:sz="4" w:space="0" w:color="auto"/>
        <w:bottom w:val="single" w:sz="4" w:space="0" w:color="auto"/>
        <w:right w:val="single" w:sz="4" w:space="0" w:color="auto"/>
      </w:tblBorders>
    </w:tblPr>
    <w:tcPr>
      <w:shd w:val="clear" w:color="auto" w:fill="EAF1DD"/>
    </w:tcPr>
  </w:style>
  <w:style w:type="numbering" w:customStyle="1" w:styleId="Style1">
    <w:name w:val="Style1"/>
    <w:uiPriority w:val="99"/>
    <w:rsid w:val="001C6DDB"/>
    <w:pPr>
      <w:numPr>
        <w:numId w:val="17"/>
      </w:numPr>
    </w:pPr>
  </w:style>
  <w:style w:type="numbering" w:customStyle="1" w:styleId="MProposallevels">
    <w:name w:val="M Proposal levels"/>
    <w:uiPriority w:val="99"/>
    <w:rsid w:val="001C6DDB"/>
    <w:pPr>
      <w:numPr>
        <w:numId w:val="18"/>
      </w:numPr>
    </w:pPr>
  </w:style>
  <w:style w:type="paragraph" w:customStyle="1" w:styleId="TableBT">
    <w:name w:val="Table BT"/>
    <w:basedOn w:val="MBT"/>
    <w:link w:val="TableBTChar"/>
    <w:rsid w:val="00F87997"/>
    <w:pPr>
      <w:spacing w:before="0" w:after="60"/>
    </w:pPr>
    <w:rPr>
      <w:color w:val="FFFFFF"/>
    </w:rPr>
  </w:style>
  <w:style w:type="paragraph" w:customStyle="1" w:styleId="MTableBT">
    <w:name w:val="M Table BT"/>
    <w:basedOn w:val="MBT"/>
    <w:link w:val="MTableBTChar"/>
    <w:rsid w:val="003127D3"/>
    <w:pPr>
      <w:spacing w:before="0" w:after="0"/>
    </w:pPr>
    <w:rPr>
      <w:sz w:val="20"/>
    </w:rPr>
  </w:style>
  <w:style w:type="character" w:customStyle="1" w:styleId="TableBTChar">
    <w:name w:val="Table BT Char"/>
    <w:basedOn w:val="MBTChar"/>
    <w:link w:val="TableBT"/>
    <w:rsid w:val="00F87997"/>
    <w:rPr>
      <w:rFonts w:ascii="Arial" w:hAnsi="Arial"/>
      <w:bCs/>
      <w:color w:val="FFFFFF"/>
      <w:sz w:val="22"/>
      <w:szCs w:val="22"/>
      <w:lang w:val="en-US" w:eastAsia="fr-FR"/>
    </w:rPr>
  </w:style>
  <w:style w:type="character" w:customStyle="1" w:styleId="MTableBTChar">
    <w:name w:val="M Table BT Char"/>
    <w:basedOn w:val="MTablebulletsChar"/>
    <w:link w:val="MTableBT"/>
    <w:rsid w:val="003127D3"/>
    <w:rPr>
      <w:rFonts w:ascii="Arial" w:eastAsia="Calibri" w:hAnsi="Arial" w:cs="Arial"/>
      <w:bCs w:val="0"/>
      <w:color w:val="000000"/>
      <w:sz w:val="18"/>
      <w:szCs w:val="22"/>
      <w:lang w:val="en-US" w:eastAsia="en-US"/>
    </w:rPr>
  </w:style>
  <w:style w:type="paragraph" w:customStyle="1" w:styleId="1Sub-heading">
    <w:name w:val="1. Sub-heading"/>
    <w:basedOn w:val="Heading5"/>
    <w:next w:val="MBT"/>
    <w:link w:val="1Sub-headingChar"/>
    <w:qFormat/>
    <w:rsid w:val="00486340"/>
    <w:pPr>
      <w:keepNext/>
      <w:numPr>
        <w:ilvl w:val="0"/>
        <w:numId w:val="0"/>
      </w:numPr>
      <w:spacing w:after="240"/>
    </w:pPr>
    <w:rPr>
      <w:rFonts w:ascii="Arial" w:hAnsi="Arial" w:cs="Arial"/>
      <w:color w:val="7FB800"/>
      <w:sz w:val="24"/>
      <w:szCs w:val="24"/>
      <w:lang w:eastAsia="en-GB"/>
    </w:rPr>
  </w:style>
  <w:style w:type="character" w:customStyle="1" w:styleId="1Sub-headingChar">
    <w:name w:val="1. Sub-heading Char"/>
    <w:basedOn w:val="DefaultParagraphFont"/>
    <w:link w:val="1Sub-heading"/>
    <w:rsid w:val="00486340"/>
    <w:rPr>
      <w:rFonts w:ascii="Arial" w:hAnsi="Arial" w:cs="Arial"/>
      <w:b/>
      <w:bCs/>
      <w:i/>
      <w:iCs/>
      <w:color w:val="7FB800"/>
      <w:sz w:val="24"/>
      <w:szCs w:val="24"/>
      <w:lang w:val="en-GB" w:eastAsia="en-GB"/>
    </w:rPr>
  </w:style>
  <w:style w:type="paragraph" w:customStyle="1" w:styleId="Tablelist">
    <w:name w:val="Table list"/>
    <w:basedOn w:val="Normal"/>
    <w:link w:val="TablelistChar"/>
    <w:rsid w:val="0025458D"/>
    <w:pPr>
      <w:ind w:left="360" w:hanging="360"/>
    </w:pPr>
    <w:rPr>
      <w:rFonts w:eastAsia="Calibri"/>
      <w:sz w:val="18"/>
      <w:szCs w:val="18"/>
      <w:lang w:val="fr-BE"/>
    </w:rPr>
  </w:style>
  <w:style w:type="character" w:customStyle="1" w:styleId="TablelistChar">
    <w:name w:val="Table list Char"/>
    <w:basedOn w:val="DefaultParagraphFont"/>
    <w:link w:val="Tablelist"/>
    <w:rsid w:val="0025458D"/>
    <w:rPr>
      <w:rFonts w:eastAsia="Calibri"/>
      <w:sz w:val="18"/>
      <w:szCs w:val="18"/>
      <w:lang w:val="fr-BE"/>
    </w:rPr>
  </w:style>
  <w:style w:type="paragraph" w:customStyle="1" w:styleId="Sub-heading1">
    <w:name w:val="Sub-heading 1"/>
    <w:basedOn w:val="Heading5"/>
    <w:link w:val="Sub-heading1Char"/>
    <w:rsid w:val="00673B9D"/>
    <w:pPr>
      <w:numPr>
        <w:ilvl w:val="0"/>
        <w:numId w:val="0"/>
      </w:numPr>
      <w:spacing w:after="240"/>
    </w:pPr>
    <w:rPr>
      <w:rFonts w:ascii="Century Gothic" w:hAnsi="Century Gothic"/>
      <w:color w:val="7FB800"/>
      <w:sz w:val="22"/>
      <w:lang w:eastAsia="en-GB"/>
    </w:rPr>
  </w:style>
  <w:style w:type="character" w:customStyle="1" w:styleId="Sub-heading1Char">
    <w:name w:val="Sub-heading 1 Char"/>
    <w:basedOn w:val="DefaultParagraphFont"/>
    <w:link w:val="Sub-heading1"/>
    <w:rsid w:val="00673B9D"/>
    <w:rPr>
      <w:rFonts w:ascii="Century Gothic" w:hAnsi="Century Gothic"/>
      <w:b/>
      <w:bCs/>
      <w:i/>
      <w:iCs/>
      <w:color w:val="7FB800"/>
      <w:sz w:val="22"/>
      <w:szCs w:val="26"/>
      <w:lang w:val="en-GB" w:eastAsia="en-GB"/>
    </w:rPr>
  </w:style>
  <w:style w:type="table" w:customStyle="1" w:styleId="MProposalTable1">
    <w:name w:val="M Proposal Table1"/>
    <w:basedOn w:val="TableNormal"/>
    <w:uiPriority w:val="99"/>
    <w:rsid w:val="001E0479"/>
    <w:rPr>
      <w:rFonts w:ascii="Century Gothic" w:hAnsi="Century Gothic"/>
      <w:color w:val="000000" w:themeColor="text1"/>
      <w:sz w:val="18"/>
      <w:lang w:val="en-GB" w:eastAsia="en-GB"/>
    </w:rPr>
    <w:tblPr>
      <w:tblInd w:w="0" w:type="nil"/>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E6E6E6"/>
    </w:tcPr>
    <w:tblStylePr w:type="firstRow">
      <w:rPr>
        <w:rFonts w:ascii="Century Gothic" w:hAnsi="Century Gothic" w:hint="default"/>
        <w:b/>
        <w:sz w:val="18"/>
        <w:szCs w:val="18"/>
      </w:rPr>
      <w:tblPr/>
      <w:tcPr>
        <w:shd w:val="clear" w:color="auto" w:fill="E6EED6" w:themeFill="accent1" w:themeFillTint="66"/>
      </w:tcPr>
    </w:tblStylePr>
  </w:style>
  <w:style w:type="table" w:customStyle="1" w:styleId="Calendar3">
    <w:name w:val="Calendar 3"/>
    <w:basedOn w:val="TableNormal"/>
    <w:uiPriority w:val="99"/>
    <w:qFormat/>
    <w:rsid w:val="003E5F20"/>
    <w:pPr>
      <w:jc w:val="right"/>
    </w:pPr>
    <w:rPr>
      <w:rFonts w:asciiTheme="majorHAnsi" w:eastAsiaTheme="majorEastAsia" w:hAnsiTheme="majorHAnsi" w:cstheme="majorBidi"/>
      <w:color w:val="000000" w:themeColor="text1"/>
      <w:sz w:val="22"/>
      <w:szCs w:val="22"/>
    </w:rPr>
    <w:tblPr/>
    <w:tblStylePr w:type="firstRow">
      <w:pPr>
        <w:wordWrap/>
        <w:jc w:val="right"/>
      </w:pPr>
      <w:rPr>
        <w:color w:val="C3D69B" w:themeColor="accent1"/>
        <w:sz w:val="44"/>
      </w:rPr>
    </w:tblStylePr>
    <w:tblStylePr w:type="firstCol">
      <w:rPr>
        <w:color w:val="C3D69B" w:themeColor="accent1"/>
      </w:rPr>
    </w:tblStylePr>
    <w:tblStylePr w:type="lastCol">
      <w:rPr>
        <w:color w:val="C3D69B" w:themeColor="accent1"/>
      </w:rPr>
    </w:tblStylePr>
  </w:style>
  <w:style w:type="table" w:styleId="GridTable4-Accent1">
    <w:name w:val="Grid Table 4 Accent 1"/>
    <w:basedOn w:val="TableNormal"/>
    <w:uiPriority w:val="49"/>
    <w:rsid w:val="00800FAF"/>
    <w:rPr>
      <w:lang w:val="en-GB" w:eastAsia="en-GB"/>
    </w:rPr>
    <w:tblPr>
      <w:tblStyleRowBandSize w:val="1"/>
      <w:tblStyleColBandSize w:val="1"/>
      <w:tblBorders>
        <w:top w:val="single" w:sz="4" w:space="0" w:color="DAE6C2" w:themeColor="accent1" w:themeTint="99"/>
        <w:left w:val="single" w:sz="4" w:space="0" w:color="DAE6C2" w:themeColor="accent1" w:themeTint="99"/>
        <w:bottom w:val="single" w:sz="4" w:space="0" w:color="DAE6C2" w:themeColor="accent1" w:themeTint="99"/>
        <w:right w:val="single" w:sz="4" w:space="0" w:color="DAE6C2" w:themeColor="accent1" w:themeTint="99"/>
        <w:insideH w:val="single" w:sz="4" w:space="0" w:color="DAE6C2" w:themeColor="accent1" w:themeTint="99"/>
        <w:insideV w:val="single" w:sz="4" w:space="0" w:color="DAE6C2" w:themeColor="accent1" w:themeTint="99"/>
      </w:tblBorders>
    </w:tblPr>
    <w:tblStylePr w:type="firstRow">
      <w:rPr>
        <w:b/>
        <w:bCs/>
        <w:color w:val="FFFFFF" w:themeColor="background1"/>
      </w:rPr>
      <w:tblPr/>
      <w:tcPr>
        <w:tcBorders>
          <w:top w:val="single" w:sz="4" w:space="0" w:color="C3D69B" w:themeColor="accent1"/>
          <w:left w:val="single" w:sz="4" w:space="0" w:color="C3D69B" w:themeColor="accent1"/>
          <w:bottom w:val="single" w:sz="4" w:space="0" w:color="C3D69B" w:themeColor="accent1"/>
          <w:right w:val="single" w:sz="4" w:space="0" w:color="C3D69B" w:themeColor="accent1"/>
          <w:insideH w:val="nil"/>
          <w:insideV w:val="nil"/>
        </w:tcBorders>
        <w:shd w:val="clear" w:color="auto" w:fill="C3D69B" w:themeFill="accent1"/>
      </w:tcPr>
    </w:tblStylePr>
    <w:tblStylePr w:type="lastRow">
      <w:rPr>
        <w:b/>
        <w:bCs/>
      </w:rPr>
      <w:tblPr/>
      <w:tcPr>
        <w:tcBorders>
          <w:top w:val="double" w:sz="4" w:space="0" w:color="C3D69B" w:themeColor="accent1"/>
        </w:tcBorders>
      </w:tcPr>
    </w:tblStylePr>
    <w:tblStylePr w:type="firstCol">
      <w:rPr>
        <w:b/>
        <w:bCs/>
      </w:rPr>
    </w:tblStylePr>
    <w:tblStylePr w:type="lastCol">
      <w:rPr>
        <w:b/>
        <w:bCs/>
      </w:rPr>
    </w:tblStylePr>
    <w:tblStylePr w:type="band1Vert">
      <w:tblPr/>
      <w:tcPr>
        <w:shd w:val="clear" w:color="auto" w:fill="F2F6EA" w:themeFill="accent1" w:themeFillTint="33"/>
      </w:tcPr>
    </w:tblStylePr>
    <w:tblStylePr w:type="band1Horz">
      <w:tblPr/>
      <w:tcPr>
        <w:shd w:val="clear" w:color="auto" w:fill="F2F6EA" w:themeFill="accent1" w:themeFillTint="33"/>
      </w:tcPr>
    </w:tblStylePr>
  </w:style>
  <w:style w:type="table" w:styleId="GridTable5Dark-Accent5">
    <w:name w:val="Grid Table 5 Dark Accent 5"/>
    <w:basedOn w:val="TableNormal"/>
    <w:uiPriority w:val="50"/>
    <w:rsid w:val="004455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DEE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5D8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5D8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5D8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5D8A" w:themeFill="accent5"/>
      </w:tcPr>
    </w:tblStylePr>
    <w:tblStylePr w:type="band1Vert">
      <w:tblPr/>
      <w:tcPr>
        <w:shd w:val="clear" w:color="auto" w:fill="A4BDDA" w:themeFill="accent5" w:themeFillTint="66"/>
      </w:tcPr>
    </w:tblStylePr>
    <w:tblStylePr w:type="band1Horz">
      <w:tblPr/>
      <w:tcPr>
        <w:shd w:val="clear" w:color="auto" w:fill="A4BDDA" w:themeFill="accent5" w:themeFillTint="66"/>
      </w:tcPr>
    </w:tblStylePr>
  </w:style>
  <w:style w:type="character" w:styleId="UnresolvedMention">
    <w:name w:val="Unresolved Mention"/>
    <w:basedOn w:val="DefaultParagraphFont"/>
    <w:uiPriority w:val="99"/>
    <w:semiHidden/>
    <w:unhideWhenUsed/>
    <w:rsid w:val="00F01A32"/>
    <w:rPr>
      <w:color w:val="605E5C"/>
      <w:shd w:val="clear" w:color="auto" w:fill="E1DFDD"/>
    </w:rPr>
  </w:style>
  <w:style w:type="paragraph" w:styleId="Revision">
    <w:name w:val="Revision"/>
    <w:hidden/>
    <w:uiPriority w:val="99"/>
    <w:semiHidden/>
    <w:rsid w:val="007B2E58"/>
    <w:rPr>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2665">
      <w:bodyDiv w:val="1"/>
      <w:marLeft w:val="0"/>
      <w:marRight w:val="0"/>
      <w:marTop w:val="0"/>
      <w:marBottom w:val="0"/>
      <w:divBdr>
        <w:top w:val="none" w:sz="0" w:space="0" w:color="auto"/>
        <w:left w:val="none" w:sz="0" w:space="0" w:color="auto"/>
        <w:bottom w:val="none" w:sz="0" w:space="0" w:color="auto"/>
        <w:right w:val="none" w:sz="0" w:space="0" w:color="auto"/>
      </w:divBdr>
      <w:divsChild>
        <w:div w:id="311761445">
          <w:marLeft w:val="0"/>
          <w:marRight w:val="0"/>
          <w:marTop w:val="0"/>
          <w:marBottom w:val="0"/>
          <w:divBdr>
            <w:top w:val="none" w:sz="0" w:space="0" w:color="auto"/>
            <w:left w:val="none" w:sz="0" w:space="0" w:color="auto"/>
            <w:bottom w:val="none" w:sz="0" w:space="0" w:color="auto"/>
            <w:right w:val="none" w:sz="0" w:space="0" w:color="auto"/>
          </w:divBdr>
          <w:divsChild>
            <w:div w:id="118450594">
              <w:marLeft w:val="3225"/>
              <w:marRight w:val="0"/>
              <w:marTop w:val="0"/>
              <w:marBottom w:val="0"/>
              <w:divBdr>
                <w:top w:val="none" w:sz="0" w:space="0" w:color="auto"/>
                <w:left w:val="none" w:sz="0" w:space="0" w:color="auto"/>
                <w:bottom w:val="none" w:sz="0" w:space="0" w:color="auto"/>
                <w:right w:val="none" w:sz="0" w:space="0" w:color="auto"/>
              </w:divBdr>
              <w:divsChild>
                <w:div w:id="843327454">
                  <w:marLeft w:val="90"/>
                  <w:marRight w:val="0"/>
                  <w:marTop w:val="0"/>
                  <w:marBottom w:val="0"/>
                  <w:divBdr>
                    <w:top w:val="single" w:sz="6" w:space="0" w:color="EEEEEE"/>
                    <w:left w:val="none" w:sz="0" w:space="0" w:color="auto"/>
                    <w:bottom w:val="none" w:sz="0" w:space="0" w:color="auto"/>
                    <w:right w:val="none" w:sz="0" w:space="0" w:color="auto"/>
                  </w:divBdr>
                  <w:divsChild>
                    <w:div w:id="549151872">
                      <w:marLeft w:val="0"/>
                      <w:marRight w:val="0"/>
                      <w:marTop w:val="0"/>
                      <w:marBottom w:val="0"/>
                      <w:divBdr>
                        <w:top w:val="none" w:sz="0" w:space="0" w:color="auto"/>
                        <w:left w:val="none" w:sz="0" w:space="0" w:color="auto"/>
                        <w:bottom w:val="none" w:sz="0" w:space="0" w:color="auto"/>
                        <w:right w:val="none" w:sz="0" w:space="0" w:color="auto"/>
                      </w:divBdr>
                      <w:divsChild>
                        <w:div w:id="11738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09141">
      <w:bodyDiv w:val="1"/>
      <w:marLeft w:val="0"/>
      <w:marRight w:val="0"/>
      <w:marTop w:val="0"/>
      <w:marBottom w:val="0"/>
      <w:divBdr>
        <w:top w:val="none" w:sz="0" w:space="0" w:color="auto"/>
        <w:left w:val="none" w:sz="0" w:space="0" w:color="auto"/>
        <w:bottom w:val="none" w:sz="0" w:space="0" w:color="auto"/>
        <w:right w:val="none" w:sz="0" w:space="0" w:color="auto"/>
      </w:divBdr>
    </w:div>
    <w:div w:id="48261065">
      <w:bodyDiv w:val="1"/>
      <w:marLeft w:val="0"/>
      <w:marRight w:val="0"/>
      <w:marTop w:val="0"/>
      <w:marBottom w:val="0"/>
      <w:divBdr>
        <w:top w:val="none" w:sz="0" w:space="0" w:color="auto"/>
        <w:left w:val="none" w:sz="0" w:space="0" w:color="auto"/>
        <w:bottom w:val="none" w:sz="0" w:space="0" w:color="auto"/>
        <w:right w:val="none" w:sz="0" w:space="0" w:color="auto"/>
      </w:divBdr>
      <w:divsChild>
        <w:div w:id="1528371886">
          <w:marLeft w:val="0"/>
          <w:marRight w:val="0"/>
          <w:marTop w:val="0"/>
          <w:marBottom w:val="0"/>
          <w:divBdr>
            <w:top w:val="none" w:sz="0" w:space="0" w:color="auto"/>
            <w:left w:val="none" w:sz="0" w:space="0" w:color="auto"/>
            <w:bottom w:val="none" w:sz="0" w:space="0" w:color="auto"/>
            <w:right w:val="none" w:sz="0" w:space="0" w:color="auto"/>
          </w:divBdr>
          <w:divsChild>
            <w:div w:id="1630431709">
              <w:marLeft w:val="3225"/>
              <w:marRight w:val="0"/>
              <w:marTop w:val="0"/>
              <w:marBottom w:val="0"/>
              <w:divBdr>
                <w:top w:val="none" w:sz="0" w:space="0" w:color="auto"/>
                <w:left w:val="none" w:sz="0" w:space="0" w:color="auto"/>
                <w:bottom w:val="none" w:sz="0" w:space="0" w:color="auto"/>
                <w:right w:val="none" w:sz="0" w:space="0" w:color="auto"/>
              </w:divBdr>
              <w:divsChild>
                <w:div w:id="1082527861">
                  <w:marLeft w:val="90"/>
                  <w:marRight w:val="0"/>
                  <w:marTop w:val="0"/>
                  <w:marBottom w:val="0"/>
                  <w:divBdr>
                    <w:top w:val="single" w:sz="6" w:space="0" w:color="EEEEEE"/>
                    <w:left w:val="none" w:sz="0" w:space="0" w:color="auto"/>
                    <w:bottom w:val="none" w:sz="0" w:space="0" w:color="auto"/>
                    <w:right w:val="none" w:sz="0" w:space="0" w:color="auto"/>
                  </w:divBdr>
                  <w:divsChild>
                    <w:div w:id="1322461986">
                      <w:marLeft w:val="0"/>
                      <w:marRight w:val="0"/>
                      <w:marTop w:val="0"/>
                      <w:marBottom w:val="0"/>
                      <w:divBdr>
                        <w:top w:val="none" w:sz="0" w:space="0" w:color="auto"/>
                        <w:left w:val="none" w:sz="0" w:space="0" w:color="auto"/>
                        <w:bottom w:val="none" w:sz="0" w:space="0" w:color="auto"/>
                        <w:right w:val="none" w:sz="0" w:space="0" w:color="auto"/>
                      </w:divBdr>
                      <w:divsChild>
                        <w:div w:id="1289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72347">
      <w:bodyDiv w:val="1"/>
      <w:marLeft w:val="0"/>
      <w:marRight w:val="0"/>
      <w:marTop w:val="0"/>
      <w:marBottom w:val="0"/>
      <w:divBdr>
        <w:top w:val="none" w:sz="0" w:space="0" w:color="auto"/>
        <w:left w:val="none" w:sz="0" w:space="0" w:color="auto"/>
        <w:bottom w:val="none" w:sz="0" w:space="0" w:color="auto"/>
        <w:right w:val="none" w:sz="0" w:space="0" w:color="auto"/>
      </w:divBdr>
      <w:divsChild>
        <w:div w:id="2116896353">
          <w:marLeft w:val="0"/>
          <w:marRight w:val="0"/>
          <w:marTop w:val="0"/>
          <w:marBottom w:val="0"/>
          <w:divBdr>
            <w:top w:val="none" w:sz="0" w:space="0" w:color="auto"/>
            <w:left w:val="none" w:sz="0" w:space="0" w:color="auto"/>
            <w:bottom w:val="none" w:sz="0" w:space="0" w:color="auto"/>
            <w:right w:val="none" w:sz="0" w:space="0" w:color="auto"/>
          </w:divBdr>
          <w:divsChild>
            <w:div w:id="1379472352">
              <w:marLeft w:val="3225"/>
              <w:marRight w:val="0"/>
              <w:marTop w:val="0"/>
              <w:marBottom w:val="0"/>
              <w:divBdr>
                <w:top w:val="none" w:sz="0" w:space="0" w:color="auto"/>
                <w:left w:val="none" w:sz="0" w:space="0" w:color="auto"/>
                <w:bottom w:val="none" w:sz="0" w:space="0" w:color="auto"/>
                <w:right w:val="none" w:sz="0" w:space="0" w:color="auto"/>
              </w:divBdr>
              <w:divsChild>
                <w:div w:id="249314033">
                  <w:marLeft w:val="90"/>
                  <w:marRight w:val="0"/>
                  <w:marTop w:val="0"/>
                  <w:marBottom w:val="0"/>
                  <w:divBdr>
                    <w:top w:val="single" w:sz="6" w:space="0" w:color="EEEEEE"/>
                    <w:left w:val="none" w:sz="0" w:space="0" w:color="auto"/>
                    <w:bottom w:val="none" w:sz="0" w:space="0" w:color="auto"/>
                    <w:right w:val="none" w:sz="0" w:space="0" w:color="auto"/>
                  </w:divBdr>
                  <w:divsChild>
                    <w:div w:id="1046415417">
                      <w:marLeft w:val="0"/>
                      <w:marRight w:val="0"/>
                      <w:marTop w:val="0"/>
                      <w:marBottom w:val="0"/>
                      <w:divBdr>
                        <w:top w:val="none" w:sz="0" w:space="0" w:color="auto"/>
                        <w:left w:val="none" w:sz="0" w:space="0" w:color="auto"/>
                        <w:bottom w:val="none" w:sz="0" w:space="0" w:color="auto"/>
                        <w:right w:val="none" w:sz="0" w:space="0" w:color="auto"/>
                      </w:divBdr>
                      <w:divsChild>
                        <w:div w:id="4018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988285">
      <w:bodyDiv w:val="1"/>
      <w:marLeft w:val="0"/>
      <w:marRight w:val="0"/>
      <w:marTop w:val="0"/>
      <w:marBottom w:val="0"/>
      <w:divBdr>
        <w:top w:val="none" w:sz="0" w:space="0" w:color="auto"/>
        <w:left w:val="none" w:sz="0" w:space="0" w:color="auto"/>
        <w:bottom w:val="none" w:sz="0" w:space="0" w:color="auto"/>
        <w:right w:val="none" w:sz="0" w:space="0" w:color="auto"/>
      </w:divBdr>
      <w:divsChild>
        <w:div w:id="2059864428">
          <w:marLeft w:val="0"/>
          <w:marRight w:val="0"/>
          <w:marTop w:val="0"/>
          <w:marBottom w:val="0"/>
          <w:divBdr>
            <w:top w:val="none" w:sz="0" w:space="0" w:color="auto"/>
            <w:left w:val="none" w:sz="0" w:space="0" w:color="auto"/>
            <w:bottom w:val="none" w:sz="0" w:space="0" w:color="auto"/>
            <w:right w:val="none" w:sz="0" w:space="0" w:color="auto"/>
          </w:divBdr>
          <w:divsChild>
            <w:div w:id="1841963270">
              <w:marLeft w:val="3225"/>
              <w:marRight w:val="0"/>
              <w:marTop w:val="0"/>
              <w:marBottom w:val="0"/>
              <w:divBdr>
                <w:top w:val="none" w:sz="0" w:space="0" w:color="auto"/>
                <w:left w:val="none" w:sz="0" w:space="0" w:color="auto"/>
                <w:bottom w:val="none" w:sz="0" w:space="0" w:color="auto"/>
                <w:right w:val="none" w:sz="0" w:space="0" w:color="auto"/>
              </w:divBdr>
              <w:divsChild>
                <w:div w:id="2051873960">
                  <w:marLeft w:val="90"/>
                  <w:marRight w:val="0"/>
                  <w:marTop w:val="0"/>
                  <w:marBottom w:val="0"/>
                  <w:divBdr>
                    <w:top w:val="single" w:sz="6" w:space="0" w:color="EEEEEE"/>
                    <w:left w:val="none" w:sz="0" w:space="0" w:color="auto"/>
                    <w:bottom w:val="none" w:sz="0" w:space="0" w:color="auto"/>
                    <w:right w:val="none" w:sz="0" w:space="0" w:color="auto"/>
                  </w:divBdr>
                  <w:divsChild>
                    <w:div w:id="1710762630">
                      <w:marLeft w:val="0"/>
                      <w:marRight w:val="0"/>
                      <w:marTop w:val="0"/>
                      <w:marBottom w:val="0"/>
                      <w:divBdr>
                        <w:top w:val="none" w:sz="0" w:space="0" w:color="auto"/>
                        <w:left w:val="none" w:sz="0" w:space="0" w:color="auto"/>
                        <w:bottom w:val="none" w:sz="0" w:space="0" w:color="auto"/>
                        <w:right w:val="none" w:sz="0" w:space="0" w:color="auto"/>
                      </w:divBdr>
                      <w:divsChild>
                        <w:div w:id="20472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680302">
      <w:bodyDiv w:val="1"/>
      <w:marLeft w:val="0"/>
      <w:marRight w:val="0"/>
      <w:marTop w:val="0"/>
      <w:marBottom w:val="0"/>
      <w:divBdr>
        <w:top w:val="none" w:sz="0" w:space="0" w:color="auto"/>
        <w:left w:val="none" w:sz="0" w:space="0" w:color="auto"/>
        <w:bottom w:val="none" w:sz="0" w:space="0" w:color="auto"/>
        <w:right w:val="none" w:sz="0" w:space="0" w:color="auto"/>
      </w:divBdr>
      <w:divsChild>
        <w:div w:id="300962739">
          <w:marLeft w:val="3"/>
          <w:marRight w:val="3"/>
          <w:marTop w:val="0"/>
          <w:marBottom w:val="0"/>
          <w:divBdr>
            <w:top w:val="single" w:sz="6" w:space="0" w:color="112449"/>
            <w:left w:val="single" w:sz="6" w:space="0" w:color="112449"/>
            <w:bottom w:val="single" w:sz="6" w:space="0" w:color="112449"/>
            <w:right w:val="single" w:sz="6" w:space="0" w:color="112449"/>
          </w:divBdr>
          <w:divsChild>
            <w:div w:id="1917934389">
              <w:marLeft w:val="3"/>
              <w:marRight w:val="3"/>
              <w:marTop w:val="0"/>
              <w:marBottom w:val="0"/>
              <w:divBdr>
                <w:top w:val="single" w:sz="6" w:space="0" w:color="112449"/>
                <w:left w:val="single" w:sz="6" w:space="0" w:color="112449"/>
                <w:bottom w:val="single" w:sz="6" w:space="0" w:color="112449"/>
                <w:right w:val="single" w:sz="6" w:space="0" w:color="112449"/>
              </w:divBdr>
              <w:divsChild>
                <w:div w:id="9638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43782">
      <w:bodyDiv w:val="1"/>
      <w:marLeft w:val="0"/>
      <w:marRight w:val="0"/>
      <w:marTop w:val="0"/>
      <w:marBottom w:val="0"/>
      <w:divBdr>
        <w:top w:val="none" w:sz="0" w:space="0" w:color="auto"/>
        <w:left w:val="none" w:sz="0" w:space="0" w:color="auto"/>
        <w:bottom w:val="none" w:sz="0" w:space="0" w:color="auto"/>
        <w:right w:val="none" w:sz="0" w:space="0" w:color="auto"/>
      </w:divBdr>
      <w:divsChild>
        <w:div w:id="225259911">
          <w:marLeft w:val="3"/>
          <w:marRight w:val="3"/>
          <w:marTop w:val="0"/>
          <w:marBottom w:val="0"/>
          <w:divBdr>
            <w:top w:val="single" w:sz="6" w:space="0" w:color="112449"/>
            <w:left w:val="single" w:sz="6" w:space="0" w:color="112449"/>
            <w:bottom w:val="single" w:sz="6" w:space="0" w:color="112449"/>
            <w:right w:val="single" w:sz="6" w:space="0" w:color="112449"/>
          </w:divBdr>
          <w:divsChild>
            <w:div w:id="1881435234">
              <w:marLeft w:val="3"/>
              <w:marRight w:val="3"/>
              <w:marTop w:val="0"/>
              <w:marBottom w:val="0"/>
              <w:divBdr>
                <w:top w:val="single" w:sz="6" w:space="0" w:color="112449"/>
                <w:left w:val="single" w:sz="6" w:space="0" w:color="112449"/>
                <w:bottom w:val="single" w:sz="6" w:space="0" w:color="112449"/>
                <w:right w:val="single" w:sz="6" w:space="0" w:color="112449"/>
              </w:divBdr>
              <w:divsChild>
                <w:div w:id="18468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12512">
      <w:bodyDiv w:val="1"/>
      <w:marLeft w:val="0"/>
      <w:marRight w:val="0"/>
      <w:marTop w:val="0"/>
      <w:marBottom w:val="0"/>
      <w:divBdr>
        <w:top w:val="none" w:sz="0" w:space="0" w:color="auto"/>
        <w:left w:val="none" w:sz="0" w:space="0" w:color="auto"/>
        <w:bottom w:val="none" w:sz="0" w:space="0" w:color="auto"/>
        <w:right w:val="none" w:sz="0" w:space="0" w:color="auto"/>
      </w:divBdr>
      <w:divsChild>
        <w:div w:id="1396054129">
          <w:marLeft w:val="2550"/>
          <w:marRight w:val="0"/>
          <w:marTop w:val="0"/>
          <w:marBottom w:val="0"/>
          <w:divBdr>
            <w:top w:val="none" w:sz="0" w:space="0" w:color="auto"/>
            <w:left w:val="none" w:sz="0" w:space="0" w:color="auto"/>
            <w:bottom w:val="none" w:sz="0" w:space="0" w:color="auto"/>
            <w:right w:val="none" w:sz="0" w:space="0" w:color="auto"/>
          </w:divBdr>
        </w:div>
      </w:divsChild>
    </w:div>
    <w:div w:id="598874991">
      <w:bodyDiv w:val="1"/>
      <w:marLeft w:val="0"/>
      <w:marRight w:val="0"/>
      <w:marTop w:val="0"/>
      <w:marBottom w:val="0"/>
      <w:divBdr>
        <w:top w:val="none" w:sz="0" w:space="0" w:color="auto"/>
        <w:left w:val="none" w:sz="0" w:space="0" w:color="auto"/>
        <w:bottom w:val="none" w:sz="0" w:space="0" w:color="auto"/>
        <w:right w:val="none" w:sz="0" w:space="0" w:color="auto"/>
      </w:divBdr>
      <w:divsChild>
        <w:div w:id="1286160556">
          <w:marLeft w:val="0"/>
          <w:marRight w:val="0"/>
          <w:marTop w:val="0"/>
          <w:marBottom w:val="0"/>
          <w:divBdr>
            <w:top w:val="none" w:sz="0" w:space="0" w:color="auto"/>
            <w:left w:val="none" w:sz="0" w:space="0" w:color="auto"/>
            <w:bottom w:val="none" w:sz="0" w:space="0" w:color="auto"/>
            <w:right w:val="none" w:sz="0" w:space="0" w:color="auto"/>
          </w:divBdr>
          <w:divsChild>
            <w:div w:id="1865052667">
              <w:marLeft w:val="3225"/>
              <w:marRight w:val="0"/>
              <w:marTop w:val="0"/>
              <w:marBottom w:val="0"/>
              <w:divBdr>
                <w:top w:val="none" w:sz="0" w:space="0" w:color="auto"/>
                <w:left w:val="none" w:sz="0" w:space="0" w:color="auto"/>
                <w:bottom w:val="none" w:sz="0" w:space="0" w:color="auto"/>
                <w:right w:val="none" w:sz="0" w:space="0" w:color="auto"/>
              </w:divBdr>
              <w:divsChild>
                <w:div w:id="2103451469">
                  <w:marLeft w:val="90"/>
                  <w:marRight w:val="0"/>
                  <w:marTop w:val="0"/>
                  <w:marBottom w:val="0"/>
                  <w:divBdr>
                    <w:top w:val="single" w:sz="6" w:space="0" w:color="EEEEEE"/>
                    <w:left w:val="none" w:sz="0" w:space="0" w:color="auto"/>
                    <w:bottom w:val="none" w:sz="0" w:space="0" w:color="auto"/>
                    <w:right w:val="none" w:sz="0" w:space="0" w:color="auto"/>
                  </w:divBdr>
                  <w:divsChild>
                    <w:div w:id="1699507614">
                      <w:marLeft w:val="0"/>
                      <w:marRight w:val="0"/>
                      <w:marTop w:val="0"/>
                      <w:marBottom w:val="0"/>
                      <w:divBdr>
                        <w:top w:val="none" w:sz="0" w:space="0" w:color="auto"/>
                        <w:left w:val="none" w:sz="0" w:space="0" w:color="auto"/>
                        <w:bottom w:val="none" w:sz="0" w:space="0" w:color="auto"/>
                        <w:right w:val="none" w:sz="0" w:space="0" w:color="auto"/>
                      </w:divBdr>
                      <w:divsChild>
                        <w:div w:id="8754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745995">
      <w:bodyDiv w:val="1"/>
      <w:marLeft w:val="0"/>
      <w:marRight w:val="0"/>
      <w:marTop w:val="0"/>
      <w:marBottom w:val="0"/>
      <w:divBdr>
        <w:top w:val="none" w:sz="0" w:space="0" w:color="auto"/>
        <w:left w:val="none" w:sz="0" w:space="0" w:color="auto"/>
        <w:bottom w:val="none" w:sz="0" w:space="0" w:color="auto"/>
        <w:right w:val="none" w:sz="0" w:space="0" w:color="auto"/>
      </w:divBdr>
      <w:divsChild>
        <w:div w:id="1820809106">
          <w:marLeft w:val="0"/>
          <w:marRight w:val="0"/>
          <w:marTop w:val="0"/>
          <w:marBottom w:val="0"/>
          <w:divBdr>
            <w:top w:val="none" w:sz="0" w:space="0" w:color="auto"/>
            <w:left w:val="none" w:sz="0" w:space="0" w:color="auto"/>
            <w:bottom w:val="none" w:sz="0" w:space="0" w:color="auto"/>
            <w:right w:val="none" w:sz="0" w:space="0" w:color="auto"/>
          </w:divBdr>
          <w:divsChild>
            <w:div w:id="1435322983">
              <w:marLeft w:val="3225"/>
              <w:marRight w:val="0"/>
              <w:marTop w:val="0"/>
              <w:marBottom w:val="0"/>
              <w:divBdr>
                <w:top w:val="none" w:sz="0" w:space="0" w:color="auto"/>
                <w:left w:val="none" w:sz="0" w:space="0" w:color="auto"/>
                <w:bottom w:val="none" w:sz="0" w:space="0" w:color="auto"/>
                <w:right w:val="none" w:sz="0" w:space="0" w:color="auto"/>
              </w:divBdr>
              <w:divsChild>
                <w:div w:id="1277519554">
                  <w:marLeft w:val="90"/>
                  <w:marRight w:val="0"/>
                  <w:marTop w:val="0"/>
                  <w:marBottom w:val="0"/>
                  <w:divBdr>
                    <w:top w:val="single" w:sz="6" w:space="0" w:color="EEEEEE"/>
                    <w:left w:val="none" w:sz="0" w:space="0" w:color="auto"/>
                    <w:bottom w:val="none" w:sz="0" w:space="0" w:color="auto"/>
                    <w:right w:val="none" w:sz="0" w:space="0" w:color="auto"/>
                  </w:divBdr>
                  <w:divsChild>
                    <w:div w:id="887642390">
                      <w:marLeft w:val="0"/>
                      <w:marRight w:val="0"/>
                      <w:marTop w:val="0"/>
                      <w:marBottom w:val="0"/>
                      <w:divBdr>
                        <w:top w:val="none" w:sz="0" w:space="0" w:color="auto"/>
                        <w:left w:val="none" w:sz="0" w:space="0" w:color="auto"/>
                        <w:bottom w:val="none" w:sz="0" w:space="0" w:color="auto"/>
                        <w:right w:val="none" w:sz="0" w:space="0" w:color="auto"/>
                      </w:divBdr>
                      <w:divsChild>
                        <w:div w:id="21318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828611">
      <w:bodyDiv w:val="1"/>
      <w:marLeft w:val="0"/>
      <w:marRight w:val="0"/>
      <w:marTop w:val="0"/>
      <w:marBottom w:val="0"/>
      <w:divBdr>
        <w:top w:val="none" w:sz="0" w:space="0" w:color="auto"/>
        <w:left w:val="none" w:sz="0" w:space="0" w:color="auto"/>
        <w:bottom w:val="none" w:sz="0" w:space="0" w:color="auto"/>
        <w:right w:val="none" w:sz="0" w:space="0" w:color="auto"/>
      </w:divBdr>
      <w:divsChild>
        <w:div w:id="654990066">
          <w:marLeft w:val="0"/>
          <w:marRight w:val="0"/>
          <w:marTop w:val="0"/>
          <w:marBottom w:val="0"/>
          <w:divBdr>
            <w:top w:val="none" w:sz="0" w:space="0" w:color="auto"/>
            <w:left w:val="none" w:sz="0" w:space="0" w:color="auto"/>
            <w:bottom w:val="none" w:sz="0" w:space="0" w:color="auto"/>
            <w:right w:val="none" w:sz="0" w:space="0" w:color="auto"/>
          </w:divBdr>
          <w:divsChild>
            <w:div w:id="1131749779">
              <w:marLeft w:val="3225"/>
              <w:marRight w:val="0"/>
              <w:marTop w:val="0"/>
              <w:marBottom w:val="0"/>
              <w:divBdr>
                <w:top w:val="none" w:sz="0" w:space="0" w:color="auto"/>
                <w:left w:val="none" w:sz="0" w:space="0" w:color="auto"/>
                <w:bottom w:val="none" w:sz="0" w:space="0" w:color="auto"/>
                <w:right w:val="none" w:sz="0" w:space="0" w:color="auto"/>
              </w:divBdr>
              <w:divsChild>
                <w:div w:id="1158769336">
                  <w:marLeft w:val="90"/>
                  <w:marRight w:val="0"/>
                  <w:marTop w:val="0"/>
                  <w:marBottom w:val="0"/>
                  <w:divBdr>
                    <w:top w:val="single" w:sz="6" w:space="0" w:color="EEEEEE"/>
                    <w:left w:val="none" w:sz="0" w:space="0" w:color="auto"/>
                    <w:bottom w:val="none" w:sz="0" w:space="0" w:color="auto"/>
                    <w:right w:val="none" w:sz="0" w:space="0" w:color="auto"/>
                  </w:divBdr>
                  <w:divsChild>
                    <w:div w:id="155342105">
                      <w:marLeft w:val="0"/>
                      <w:marRight w:val="0"/>
                      <w:marTop w:val="0"/>
                      <w:marBottom w:val="0"/>
                      <w:divBdr>
                        <w:top w:val="none" w:sz="0" w:space="0" w:color="auto"/>
                        <w:left w:val="none" w:sz="0" w:space="0" w:color="auto"/>
                        <w:bottom w:val="none" w:sz="0" w:space="0" w:color="auto"/>
                        <w:right w:val="none" w:sz="0" w:space="0" w:color="auto"/>
                      </w:divBdr>
                      <w:divsChild>
                        <w:div w:id="928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762340">
      <w:bodyDiv w:val="1"/>
      <w:marLeft w:val="0"/>
      <w:marRight w:val="0"/>
      <w:marTop w:val="0"/>
      <w:marBottom w:val="0"/>
      <w:divBdr>
        <w:top w:val="none" w:sz="0" w:space="0" w:color="auto"/>
        <w:left w:val="none" w:sz="0" w:space="0" w:color="auto"/>
        <w:bottom w:val="none" w:sz="0" w:space="0" w:color="auto"/>
        <w:right w:val="none" w:sz="0" w:space="0" w:color="auto"/>
      </w:divBdr>
      <w:divsChild>
        <w:div w:id="1720863520">
          <w:marLeft w:val="0"/>
          <w:marRight w:val="0"/>
          <w:marTop w:val="0"/>
          <w:marBottom w:val="0"/>
          <w:divBdr>
            <w:top w:val="none" w:sz="0" w:space="0" w:color="auto"/>
            <w:left w:val="none" w:sz="0" w:space="0" w:color="auto"/>
            <w:bottom w:val="none" w:sz="0" w:space="0" w:color="auto"/>
            <w:right w:val="none" w:sz="0" w:space="0" w:color="auto"/>
          </w:divBdr>
          <w:divsChild>
            <w:div w:id="1754081065">
              <w:marLeft w:val="3225"/>
              <w:marRight w:val="0"/>
              <w:marTop w:val="0"/>
              <w:marBottom w:val="0"/>
              <w:divBdr>
                <w:top w:val="none" w:sz="0" w:space="0" w:color="auto"/>
                <w:left w:val="none" w:sz="0" w:space="0" w:color="auto"/>
                <w:bottom w:val="none" w:sz="0" w:space="0" w:color="auto"/>
                <w:right w:val="none" w:sz="0" w:space="0" w:color="auto"/>
              </w:divBdr>
              <w:divsChild>
                <w:div w:id="1403288834">
                  <w:marLeft w:val="90"/>
                  <w:marRight w:val="0"/>
                  <w:marTop w:val="0"/>
                  <w:marBottom w:val="0"/>
                  <w:divBdr>
                    <w:top w:val="single" w:sz="6" w:space="0" w:color="EEEEEE"/>
                    <w:left w:val="none" w:sz="0" w:space="0" w:color="auto"/>
                    <w:bottom w:val="none" w:sz="0" w:space="0" w:color="auto"/>
                    <w:right w:val="none" w:sz="0" w:space="0" w:color="auto"/>
                  </w:divBdr>
                  <w:divsChild>
                    <w:div w:id="2086148854">
                      <w:marLeft w:val="0"/>
                      <w:marRight w:val="0"/>
                      <w:marTop w:val="0"/>
                      <w:marBottom w:val="0"/>
                      <w:divBdr>
                        <w:top w:val="none" w:sz="0" w:space="0" w:color="auto"/>
                        <w:left w:val="none" w:sz="0" w:space="0" w:color="auto"/>
                        <w:bottom w:val="none" w:sz="0" w:space="0" w:color="auto"/>
                        <w:right w:val="none" w:sz="0" w:space="0" w:color="auto"/>
                      </w:divBdr>
                      <w:divsChild>
                        <w:div w:id="3242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915071">
      <w:bodyDiv w:val="1"/>
      <w:marLeft w:val="0"/>
      <w:marRight w:val="0"/>
      <w:marTop w:val="0"/>
      <w:marBottom w:val="0"/>
      <w:divBdr>
        <w:top w:val="none" w:sz="0" w:space="0" w:color="auto"/>
        <w:left w:val="none" w:sz="0" w:space="0" w:color="auto"/>
        <w:bottom w:val="none" w:sz="0" w:space="0" w:color="auto"/>
        <w:right w:val="none" w:sz="0" w:space="0" w:color="auto"/>
      </w:divBdr>
    </w:div>
    <w:div w:id="986713493">
      <w:bodyDiv w:val="1"/>
      <w:marLeft w:val="0"/>
      <w:marRight w:val="0"/>
      <w:marTop w:val="0"/>
      <w:marBottom w:val="0"/>
      <w:divBdr>
        <w:top w:val="none" w:sz="0" w:space="0" w:color="auto"/>
        <w:left w:val="none" w:sz="0" w:space="0" w:color="auto"/>
        <w:bottom w:val="none" w:sz="0" w:space="0" w:color="auto"/>
        <w:right w:val="none" w:sz="0" w:space="0" w:color="auto"/>
      </w:divBdr>
      <w:divsChild>
        <w:div w:id="455099738">
          <w:marLeft w:val="2550"/>
          <w:marRight w:val="0"/>
          <w:marTop w:val="0"/>
          <w:marBottom w:val="0"/>
          <w:divBdr>
            <w:top w:val="none" w:sz="0" w:space="0" w:color="auto"/>
            <w:left w:val="none" w:sz="0" w:space="0" w:color="auto"/>
            <w:bottom w:val="none" w:sz="0" w:space="0" w:color="auto"/>
            <w:right w:val="none" w:sz="0" w:space="0" w:color="auto"/>
          </w:divBdr>
        </w:div>
      </w:divsChild>
    </w:div>
    <w:div w:id="991522435">
      <w:bodyDiv w:val="1"/>
      <w:marLeft w:val="0"/>
      <w:marRight w:val="0"/>
      <w:marTop w:val="0"/>
      <w:marBottom w:val="0"/>
      <w:divBdr>
        <w:top w:val="none" w:sz="0" w:space="0" w:color="auto"/>
        <w:left w:val="none" w:sz="0" w:space="0" w:color="auto"/>
        <w:bottom w:val="none" w:sz="0" w:space="0" w:color="auto"/>
        <w:right w:val="none" w:sz="0" w:space="0" w:color="auto"/>
      </w:divBdr>
      <w:divsChild>
        <w:div w:id="197744214">
          <w:marLeft w:val="2550"/>
          <w:marRight w:val="0"/>
          <w:marTop w:val="0"/>
          <w:marBottom w:val="0"/>
          <w:divBdr>
            <w:top w:val="none" w:sz="0" w:space="0" w:color="auto"/>
            <w:left w:val="none" w:sz="0" w:space="0" w:color="auto"/>
            <w:bottom w:val="none" w:sz="0" w:space="0" w:color="auto"/>
            <w:right w:val="none" w:sz="0" w:space="0" w:color="auto"/>
          </w:divBdr>
        </w:div>
      </w:divsChild>
    </w:div>
    <w:div w:id="1104881747">
      <w:bodyDiv w:val="1"/>
      <w:marLeft w:val="0"/>
      <w:marRight w:val="0"/>
      <w:marTop w:val="0"/>
      <w:marBottom w:val="0"/>
      <w:divBdr>
        <w:top w:val="none" w:sz="0" w:space="0" w:color="auto"/>
        <w:left w:val="none" w:sz="0" w:space="0" w:color="auto"/>
        <w:bottom w:val="none" w:sz="0" w:space="0" w:color="auto"/>
        <w:right w:val="none" w:sz="0" w:space="0" w:color="auto"/>
      </w:divBdr>
    </w:div>
    <w:div w:id="1136944561">
      <w:bodyDiv w:val="1"/>
      <w:marLeft w:val="0"/>
      <w:marRight w:val="0"/>
      <w:marTop w:val="0"/>
      <w:marBottom w:val="0"/>
      <w:divBdr>
        <w:top w:val="none" w:sz="0" w:space="0" w:color="auto"/>
        <w:left w:val="none" w:sz="0" w:space="0" w:color="auto"/>
        <w:bottom w:val="none" w:sz="0" w:space="0" w:color="auto"/>
        <w:right w:val="none" w:sz="0" w:space="0" w:color="auto"/>
      </w:divBdr>
    </w:div>
    <w:div w:id="1208419063">
      <w:bodyDiv w:val="1"/>
      <w:marLeft w:val="0"/>
      <w:marRight w:val="0"/>
      <w:marTop w:val="0"/>
      <w:marBottom w:val="0"/>
      <w:divBdr>
        <w:top w:val="none" w:sz="0" w:space="0" w:color="auto"/>
        <w:left w:val="none" w:sz="0" w:space="0" w:color="auto"/>
        <w:bottom w:val="none" w:sz="0" w:space="0" w:color="auto"/>
        <w:right w:val="none" w:sz="0" w:space="0" w:color="auto"/>
      </w:divBdr>
    </w:div>
    <w:div w:id="1225213662">
      <w:bodyDiv w:val="1"/>
      <w:marLeft w:val="0"/>
      <w:marRight w:val="0"/>
      <w:marTop w:val="0"/>
      <w:marBottom w:val="0"/>
      <w:divBdr>
        <w:top w:val="none" w:sz="0" w:space="0" w:color="auto"/>
        <w:left w:val="none" w:sz="0" w:space="0" w:color="auto"/>
        <w:bottom w:val="none" w:sz="0" w:space="0" w:color="auto"/>
        <w:right w:val="none" w:sz="0" w:space="0" w:color="auto"/>
      </w:divBdr>
    </w:div>
    <w:div w:id="1435442988">
      <w:bodyDiv w:val="1"/>
      <w:marLeft w:val="0"/>
      <w:marRight w:val="0"/>
      <w:marTop w:val="0"/>
      <w:marBottom w:val="0"/>
      <w:divBdr>
        <w:top w:val="none" w:sz="0" w:space="0" w:color="auto"/>
        <w:left w:val="none" w:sz="0" w:space="0" w:color="auto"/>
        <w:bottom w:val="none" w:sz="0" w:space="0" w:color="auto"/>
        <w:right w:val="none" w:sz="0" w:space="0" w:color="auto"/>
      </w:divBdr>
    </w:div>
    <w:div w:id="1491285275">
      <w:bodyDiv w:val="1"/>
      <w:marLeft w:val="0"/>
      <w:marRight w:val="0"/>
      <w:marTop w:val="0"/>
      <w:marBottom w:val="0"/>
      <w:divBdr>
        <w:top w:val="none" w:sz="0" w:space="0" w:color="auto"/>
        <w:left w:val="none" w:sz="0" w:space="0" w:color="auto"/>
        <w:bottom w:val="none" w:sz="0" w:space="0" w:color="auto"/>
        <w:right w:val="none" w:sz="0" w:space="0" w:color="auto"/>
      </w:divBdr>
      <w:divsChild>
        <w:div w:id="394547951">
          <w:marLeft w:val="0"/>
          <w:marRight w:val="0"/>
          <w:marTop w:val="0"/>
          <w:marBottom w:val="0"/>
          <w:divBdr>
            <w:top w:val="none" w:sz="0" w:space="0" w:color="auto"/>
            <w:left w:val="none" w:sz="0" w:space="0" w:color="auto"/>
            <w:bottom w:val="none" w:sz="0" w:space="0" w:color="auto"/>
            <w:right w:val="none" w:sz="0" w:space="0" w:color="auto"/>
          </w:divBdr>
        </w:div>
        <w:div w:id="1133863551">
          <w:marLeft w:val="0"/>
          <w:marRight w:val="0"/>
          <w:marTop w:val="0"/>
          <w:marBottom w:val="0"/>
          <w:divBdr>
            <w:top w:val="none" w:sz="0" w:space="0" w:color="auto"/>
            <w:left w:val="none" w:sz="0" w:space="0" w:color="auto"/>
            <w:bottom w:val="none" w:sz="0" w:space="0" w:color="auto"/>
            <w:right w:val="none" w:sz="0" w:space="0" w:color="auto"/>
          </w:divBdr>
        </w:div>
        <w:div w:id="1394160011">
          <w:marLeft w:val="0"/>
          <w:marRight w:val="0"/>
          <w:marTop w:val="0"/>
          <w:marBottom w:val="0"/>
          <w:divBdr>
            <w:top w:val="none" w:sz="0" w:space="0" w:color="auto"/>
            <w:left w:val="none" w:sz="0" w:space="0" w:color="auto"/>
            <w:bottom w:val="none" w:sz="0" w:space="0" w:color="auto"/>
            <w:right w:val="none" w:sz="0" w:space="0" w:color="auto"/>
          </w:divBdr>
        </w:div>
        <w:div w:id="904530647">
          <w:marLeft w:val="0"/>
          <w:marRight w:val="0"/>
          <w:marTop w:val="0"/>
          <w:marBottom w:val="0"/>
          <w:divBdr>
            <w:top w:val="none" w:sz="0" w:space="0" w:color="auto"/>
            <w:left w:val="none" w:sz="0" w:space="0" w:color="auto"/>
            <w:bottom w:val="none" w:sz="0" w:space="0" w:color="auto"/>
            <w:right w:val="none" w:sz="0" w:space="0" w:color="auto"/>
          </w:divBdr>
        </w:div>
      </w:divsChild>
    </w:div>
    <w:div w:id="1491363566">
      <w:bodyDiv w:val="1"/>
      <w:marLeft w:val="0"/>
      <w:marRight w:val="0"/>
      <w:marTop w:val="0"/>
      <w:marBottom w:val="0"/>
      <w:divBdr>
        <w:top w:val="none" w:sz="0" w:space="0" w:color="auto"/>
        <w:left w:val="none" w:sz="0" w:space="0" w:color="auto"/>
        <w:bottom w:val="none" w:sz="0" w:space="0" w:color="auto"/>
        <w:right w:val="none" w:sz="0" w:space="0" w:color="auto"/>
      </w:divBdr>
      <w:divsChild>
        <w:div w:id="716589964">
          <w:marLeft w:val="0"/>
          <w:marRight w:val="0"/>
          <w:marTop w:val="0"/>
          <w:marBottom w:val="0"/>
          <w:divBdr>
            <w:top w:val="none" w:sz="0" w:space="0" w:color="auto"/>
            <w:left w:val="none" w:sz="0" w:space="0" w:color="auto"/>
            <w:bottom w:val="none" w:sz="0" w:space="0" w:color="auto"/>
            <w:right w:val="none" w:sz="0" w:space="0" w:color="auto"/>
          </w:divBdr>
          <w:divsChild>
            <w:div w:id="538779017">
              <w:marLeft w:val="3225"/>
              <w:marRight w:val="0"/>
              <w:marTop w:val="0"/>
              <w:marBottom w:val="0"/>
              <w:divBdr>
                <w:top w:val="none" w:sz="0" w:space="0" w:color="auto"/>
                <w:left w:val="none" w:sz="0" w:space="0" w:color="auto"/>
                <w:bottom w:val="none" w:sz="0" w:space="0" w:color="auto"/>
                <w:right w:val="none" w:sz="0" w:space="0" w:color="auto"/>
              </w:divBdr>
              <w:divsChild>
                <w:div w:id="882474210">
                  <w:marLeft w:val="90"/>
                  <w:marRight w:val="0"/>
                  <w:marTop w:val="0"/>
                  <w:marBottom w:val="0"/>
                  <w:divBdr>
                    <w:top w:val="single" w:sz="6" w:space="0" w:color="EEEEEE"/>
                    <w:left w:val="none" w:sz="0" w:space="0" w:color="auto"/>
                    <w:bottom w:val="none" w:sz="0" w:space="0" w:color="auto"/>
                    <w:right w:val="none" w:sz="0" w:space="0" w:color="auto"/>
                  </w:divBdr>
                  <w:divsChild>
                    <w:div w:id="93482243">
                      <w:marLeft w:val="0"/>
                      <w:marRight w:val="0"/>
                      <w:marTop w:val="0"/>
                      <w:marBottom w:val="0"/>
                      <w:divBdr>
                        <w:top w:val="none" w:sz="0" w:space="0" w:color="auto"/>
                        <w:left w:val="none" w:sz="0" w:space="0" w:color="auto"/>
                        <w:bottom w:val="none" w:sz="0" w:space="0" w:color="auto"/>
                        <w:right w:val="none" w:sz="0" w:space="0" w:color="auto"/>
                      </w:divBdr>
                      <w:divsChild>
                        <w:div w:id="14151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278399">
      <w:bodyDiv w:val="1"/>
      <w:marLeft w:val="0"/>
      <w:marRight w:val="0"/>
      <w:marTop w:val="0"/>
      <w:marBottom w:val="0"/>
      <w:divBdr>
        <w:top w:val="none" w:sz="0" w:space="0" w:color="auto"/>
        <w:left w:val="none" w:sz="0" w:space="0" w:color="auto"/>
        <w:bottom w:val="none" w:sz="0" w:space="0" w:color="auto"/>
        <w:right w:val="none" w:sz="0" w:space="0" w:color="auto"/>
      </w:divBdr>
      <w:divsChild>
        <w:div w:id="1364745805">
          <w:marLeft w:val="0"/>
          <w:marRight w:val="0"/>
          <w:marTop w:val="0"/>
          <w:marBottom w:val="0"/>
          <w:divBdr>
            <w:top w:val="none" w:sz="0" w:space="0" w:color="auto"/>
            <w:left w:val="none" w:sz="0" w:space="0" w:color="auto"/>
            <w:bottom w:val="none" w:sz="0" w:space="0" w:color="auto"/>
            <w:right w:val="none" w:sz="0" w:space="0" w:color="auto"/>
          </w:divBdr>
          <w:divsChild>
            <w:div w:id="716929174">
              <w:marLeft w:val="3225"/>
              <w:marRight w:val="0"/>
              <w:marTop w:val="0"/>
              <w:marBottom w:val="0"/>
              <w:divBdr>
                <w:top w:val="none" w:sz="0" w:space="0" w:color="auto"/>
                <w:left w:val="none" w:sz="0" w:space="0" w:color="auto"/>
                <w:bottom w:val="none" w:sz="0" w:space="0" w:color="auto"/>
                <w:right w:val="none" w:sz="0" w:space="0" w:color="auto"/>
              </w:divBdr>
              <w:divsChild>
                <w:div w:id="542330573">
                  <w:marLeft w:val="90"/>
                  <w:marRight w:val="0"/>
                  <w:marTop w:val="0"/>
                  <w:marBottom w:val="0"/>
                  <w:divBdr>
                    <w:top w:val="single" w:sz="6" w:space="0" w:color="EEEEEE"/>
                    <w:left w:val="none" w:sz="0" w:space="0" w:color="auto"/>
                    <w:bottom w:val="none" w:sz="0" w:space="0" w:color="auto"/>
                    <w:right w:val="none" w:sz="0" w:space="0" w:color="auto"/>
                  </w:divBdr>
                  <w:divsChild>
                    <w:div w:id="1160541777">
                      <w:marLeft w:val="0"/>
                      <w:marRight w:val="0"/>
                      <w:marTop w:val="0"/>
                      <w:marBottom w:val="0"/>
                      <w:divBdr>
                        <w:top w:val="none" w:sz="0" w:space="0" w:color="auto"/>
                        <w:left w:val="none" w:sz="0" w:space="0" w:color="auto"/>
                        <w:bottom w:val="none" w:sz="0" w:space="0" w:color="auto"/>
                        <w:right w:val="none" w:sz="0" w:space="0" w:color="auto"/>
                      </w:divBdr>
                      <w:divsChild>
                        <w:div w:id="14644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269738">
      <w:bodyDiv w:val="1"/>
      <w:marLeft w:val="0"/>
      <w:marRight w:val="0"/>
      <w:marTop w:val="0"/>
      <w:marBottom w:val="0"/>
      <w:divBdr>
        <w:top w:val="none" w:sz="0" w:space="0" w:color="auto"/>
        <w:left w:val="none" w:sz="0" w:space="0" w:color="auto"/>
        <w:bottom w:val="none" w:sz="0" w:space="0" w:color="auto"/>
        <w:right w:val="none" w:sz="0" w:space="0" w:color="auto"/>
      </w:divBdr>
    </w:div>
    <w:div w:id="1821844343">
      <w:bodyDiv w:val="1"/>
      <w:marLeft w:val="0"/>
      <w:marRight w:val="0"/>
      <w:marTop w:val="0"/>
      <w:marBottom w:val="0"/>
      <w:divBdr>
        <w:top w:val="none" w:sz="0" w:space="0" w:color="auto"/>
        <w:left w:val="none" w:sz="0" w:space="0" w:color="auto"/>
        <w:bottom w:val="none" w:sz="0" w:space="0" w:color="auto"/>
        <w:right w:val="none" w:sz="0" w:space="0" w:color="auto"/>
      </w:divBdr>
      <w:divsChild>
        <w:div w:id="2080251025">
          <w:marLeft w:val="0"/>
          <w:marRight w:val="0"/>
          <w:marTop w:val="0"/>
          <w:marBottom w:val="0"/>
          <w:divBdr>
            <w:top w:val="none" w:sz="0" w:space="0" w:color="auto"/>
            <w:left w:val="none" w:sz="0" w:space="0" w:color="auto"/>
            <w:bottom w:val="none" w:sz="0" w:space="0" w:color="auto"/>
            <w:right w:val="none" w:sz="0" w:space="0" w:color="auto"/>
          </w:divBdr>
          <w:divsChild>
            <w:div w:id="658776890">
              <w:marLeft w:val="3225"/>
              <w:marRight w:val="0"/>
              <w:marTop w:val="0"/>
              <w:marBottom w:val="0"/>
              <w:divBdr>
                <w:top w:val="none" w:sz="0" w:space="0" w:color="auto"/>
                <w:left w:val="none" w:sz="0" w:space="0" w:color="auto"/>
                <w:bottom w:val="none" w:sz="0" w:space="0" w:color="auto"/>
                <w:right w:val="none" w:sz="0" w:space="0" w:color="auto"/>
              </w:divBdr>
              <w:divsChild>
                <w:div w:id="1132021743">
                  <w:marLeft w:val="90"/>
                  <w:marRight w:val="0"/>
                  <w:marTop w:val="0"/>
                  <w:marBottom w:val="0"/>
                  <w:divBdr>
                    <w:top w:val="single" w:sz="6" w:space="0" w:color="EEEEEE"/>
                    <w:left w:val="none" w:sz="0" w:space="0" w:color="auto"/>
                    <w:bottom w:val="none" w:sz="0" w:space="0" w:color="auto"/>
                    <w:right w:val="none" w:sz="0" w:space="0" w:color="auto"/>
                  </w:divBdr>
                  <w:divsChild>
                    <w:div w:id="1620140517">
                      <w:marLeft w:val="0"/>
                      <w:marRight w:val="0"/>
                      <w:marTop w:val="0"/>
                      <w:marBottom w:val="0"/>
                      <w:divBdr>
                        <w:top w:val="none" w:sz="0" w:space="0" w:color="auto"/>
                        <w:left w:val="none" w:sz="0" w:space="0" w:color="auto"/>
                        <w:bottom w:val="none" w:sz="0" w:space="0" w:color="auto"/>
                        <w:right w:val="none" w:sz="0" w:space="0" w:color="auto"/>
                      </w:divBdr>
                      <w:divsChild>
                        <w:div w:id="6437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321912">
      <w:bodyDiv w:val="1"/>
      <w:marLeft w:val="0"/>
      <w:marRight w:val="0"/>
      <w:marTop w:val="0"/>
      <w:marBottom w:val="0"/>
      <w:divBdr>
        <w:top w:val="none" w:sz="0" w:space="0" w:color="auto"/>
        <w:left w:val="none" w:sz="0" w:space="0" w:color="auto"/>
        <w:bottom w:val="none" w:sz="0" w:space="0" w:color="auto"/>
        <w:right w:val="none" w:sz="0" w:space="0" w:color="auto"/>
      </w:divBdr>
      <w:divsChild>
        <w:div w:id="1668903146">
          <w:marLeft w:val="0"/>
          <w:marRight w:val="0"/>
          <w:marTop w:val="0"/>
          <w:marBottom w:val="0"/>
          <w:divBdr>
            <w:top w:val="none" w:sz="0" w:space="0" w:color="auto"/>
            <w:left w:val="none" w:sz="0" w:space="0" w:color="auto"/>
            <w:bottom w:val="none" w:sz="0" w:space="0" w:color="auto"/>
            <w:right w:val="none" w:sz="0" w:space="0" w:color="auto"/>
          </w:divBdr>
          <w:divsChild>
            <w:div w:id="1427115705">
              <w:marLeft w:val="3225"/>
              <w:marRight w:val="0"/>
              <w:marTop w:val="0"/>
              <w:marBottom w:val="0"/>
              <w:divBdr>
                <w:top w:val="none" w:sz="0" w:space="0" w:color="auto"/>
                <w:left w:val="none" w:sz="0" w:space="0" w:color="auto"/>
                <w:bottom w:val="none" w:sz="0" w:space="0" w:color="auto"/>
                <w:right w:val="none" w:sz="0" w:space="0" w:color="auto"/>
              </w:divBdr>
              <w:divsChild>
                <w:div w:id="66656890">
                  <w:marLeft w:val="90"/>
                  <w:marRight w:val="0"/>
                  <w:marTop w:val="0"/>
                  <w:marBottom w:val="0"/>
                  <w:divBdr>
                    <w:top w:val="single" w:sz="6" w:space="0" w:color="EEEEEE"/>
                    <w:left w:val="none" w:sz="0" w:space="0" w:color="auto"/>
                    <w:bottom w:val="none" w:sz="0" w:space="0" w:color="auto"/>
                    <w:right w:val="none" w:sz="0" w:space="0" w:color="auto"/>
                  </w:divBdr>
                  <w:divsChild>
                    <w:div w:id="1588041">
                      <w:marLeft w:val="0"/>
                      <w:marRight w:val="0"/>
                      <w:marTop w:val="0"/>
                      <w:marBottom w:val="0"/>
                      <w:divBdr>
                        <w:top w:val="none" w:sz="0" w:space="0" w:color="auto"/>
                        <w:left w:val="none" w:sz="0" w:space="0" w:color="auto"/>
                        <w:bottom w:val="none" w:sz="0" w:space="0" w:color="auto"/>
                        <w:right w:val="none" w:sz="0" w:space="0" w:color="auto"/>
                      </w:divBdr>
                      <w:divsChild>
                        <w:div w:id="6268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736156">
      <w:bodyDiv w:val="1"/>
      <w:marLeft w:val="0"/>
      <w:marRight w:val="0"/>
      <w:marTop w:val="0"/>
      <w:marBottom w:val="0"/>
      <w:divBdr>
        <w:top w:val="none" w:sz="0" w:space="0" w:color="auto"/>
        <w:left w:val="none" w:sz="0" w:space="0" w:color="auto"/>
        <w:bottom w:val="none" w:sz="0" w:space="0" w:color="auto"/>
        <w:right w:val="none" w:sz="0" w:space="0" w:color="auto"/>
      </w:divBdr>
    </w:div>
    <w:div w:id="2087728123">
      <w:bodyDiv w:val="1"/>
      <w:marLeft w:val="0"/>
      <w:marRight w:val="0"/>
      <w:marTop w:val="0"/>
      <w:marBottom w:val="0"/>
      <w:divBdr>
        <w:top w:val="none" w:sz="0" w:space="0" w:color="auto"/>
        <w:left w:val="none" w:sz="0" w:space="0" w:color="auto"/>
        <w:bottom w:val="none" w:sz="0" w:space="0" w:color="auto"/>
        <w:right w:val="none" w:sz="0" w:space="0" w:color="auto"/>
      </w:divBdr>
      <w:divsChild>
        <w:div w:id="948661736">
          <w:marLeft w:val="0"/>
          <w:marRight w:val="0"/>
          <w:marTop w:val="0"/>
          <w:marBottom w:val="0"/>
          <w:divBdr>
            <w:top w:val="none" w:sz="0" w:space="0" w:color="auto"/>
            <w:left w:val="none" w:sz="0" w:space="0" w:color="auto"/>
            <w:bottom w:val="none" w:sz="0" w:space="0" w:color="auto"/>
            <w:right w:val="none" w:sz="0" w:space="0" w:color="auto"/>
          </w:divBdr>
          <w:divsChild>
            <w:div w:id="138036537">
              <w:marLeft w:val="3225"/>
              <w:marRight w:val="0"/>
              <w:marTop w:val="0"/>
              <w:marBottom w:val="0"/>
              <w:divBdr>
                <w:top w:val="none" w:sz="0" w:space="0" w:color="auto"/>
                <w:left w:val="none" w:sz="0" w:space="0" w:color="auto"/>
                <w:bottom w:val="none" w:sz="0" w:space="0" w:color="auto"/>
                <w:right w:val="none" w:sz="0" w:space="0" w:color="auto"/>
              </w:divBdr>
              <w:divsChild>
                <w:div w:id="8412250">
                  <w:marLeft w:val="90"/>
                  <w:marRight w:val="0"/>
                  <w:marTop w:val="0"/>
                  <w:marBottom w:val="0"/>
                  <w:divBdr>
                    <w:top w:val="single" w:sz="6" w:space="0" w:color="EEEEEE"/>
                    <w:left w:val="none" w:sz="0" w:space="0" w:color="auto"/>
                    <w:bottom w:val="none" w:sz="0" w:space="0" w:color="auto"/>
                    <w:right w:val="none" w:sz="0" w:space="0" w:color="auto"/>
                  </w:divBdr>
                  <w:divsChild>
                    <w:div w:id="805391152">
                      <w:marLeft w:val="0"/>
                      <w:marRight w:val="0"/>
                      <w:marTop w:val="0"/>
                      <w:marBottom w:val="0"/>
                      <w:divBdr>
                        <w:top w:val="none" w:sz="0" w:space="0" w:color="auto"/>
                        <w:left w:val="none" w:sz="0" w:space="0" w:color="auto"/>
                        <w:bottom w:val="none" w:sz="0" w:space="0" w:color="auto"/>
                        <w:right w:val="none" w:sz="0" w:space="0" w:color="auto"/>
                      </w:divBdr>
                      <w:divsChild>
                        <w:div w:id="18792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772764">
      <w:bodyDiv w:val="1"/>
      <w:marLeft w:val="0"/>
      <w:marRight w:val="0"/>
      <w:marTop w:val="0"/>
      <w:marBottom w:val="0"/>
      <w:divBdr>
        <w:top w:val="none" w:sz="0" w:space="0" w:color="auto"/>
        <w:left w:val="none" w:sz="0" w:space="0" w:color="auto"/>
        <w:bottom w:val="none" w:sz="0" w:space="0" w:color="auto"/>
        <w:right w:val="none" w:sz="0" w:space="0" w:color="auto"/>
      </w:divBdr>
      <w:divsChild>
        <w:div w:id="1571034544">
          <w:marLeft w:val="0"/>
          <w:marRight w:val="0"/>
          <w:marTop w:val="0"/>
          <w:marBottom w:val="0"/>
          <w:divBdr>
            <w:top w:val="none" w:sz="0" w:space="0" w:color="auto"/>
            <w:left w:val="none" w:sz="0" w:space="0" w:color="auto"/>
            <w:bottom w:val="none" w:sz="0" w:space="0" w:color="auto"/>
            <w:right w:val="none" w:sz="0" w:space="0" w:color="auto"/>
          </w:divBdr>
          <w:divsChild>
            <w:div w:id="1470366295">
              <w:marLeft w:val="3225"/>
              <w:marRight w:val="0"/>
              <w:marTop w:val="0"/>
              <w:marBottom w:val="0"/>
              <w:divBdr>
                <w:top w:val="none" w:sz="0" w:space="0" w:color="auto"/>
                <w:left w:val="none" w:sz="0" w:space="0" w:color="auto"/>
                <w:bottom w:val="none" w:sz="0" w:space="0" w:color="auto"/>
                <w:right w:val="none" w:sz="0" w:space="0" w:color="auto"/>
              </w:divBdr>
              <w:divsChild>
                <w:div w:id="1277567581">
                  <w:marLeft w:val="90"/>
                  <w:marRight w:val="0"/>
                  <w:marTop w:val="0"/>
                  <w:marBottom w:val="0"/>
                  <w:divBdr>
                    <w:top w:val="single" w:sz="6" w:space="0" w:color="EEEEEE"/>
                    <w:left w:val="none" w:sz="0" w:space="0" w:color="auto"/>
                    <w:bottom w:val="none" w:sz="0" w:space="0" w:color="auto"/>
                    <w:right w:val="none" w:sz="0" w:space="0" w:color="auto"/>
                  </w:divBdr>
                  <w:divsChild>
                    <w:div w:id="2129203767">
                      <w:marLeft w:val="0"/>
                      <w:marRight w:val="0"/>
                      <w:marTop w:val="0"/>
                      <w:marBottom w:val="0"/>
                      <w:divBdr>
                        <w:top w:val="none" w:sz="0" w:space="0" w:color="auto"/>
                        <w:left w:val="none" w:sz="0" w:space="0" w:color="auto"/>
                        <w:bottom w:val="none" w:sz="0" w:space="0" w:color="auto"/>
                        <w:right w:val="none" w:sz="0" w:space="0" w:color="auto"/>
                      </w:divBdr>
                      <w:divsChild>
                        <w:div w:id="27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commission.europa.eu/funding-tenders/find-funding/eu-funding-programmes/technical-support-instrument/technical-support-instrument-tsi_en" TargetMode="External"/><Relationship Id="rId2" Type="http://schemas.openxmlformats.org/officeDocument/2006/relationships/numbering" Target="numbering.xml"/><Relationship Id="rId16" Type="http://schemas.openxmlformats.org/officeDocument/2006/relationships/hyperlink" Target="https://europa.eu/eurobarometer/surveys/detail/265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ieu.be" TargetMode="External"/><Relationship Id="rId5" Type="http://schemas.openxmlformats.org/officeDocument/2006/relationships/webSettings" Target="webSettings.xml"/><Relationship Id="rId15" Type="http://schemas.openxmlformats.org/officeDocument/2006/relationships/hyperlink" Target="https://www.transparency.org/en/cpi/2021/index/ita" TargetMode="Externa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cadmus.eui.eu/handle/1814/7469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emocracy-reporting.org/en/office/EU/publications/italys-election-and-the-rule-of-law" TargetMode="External"/><Relationship Id="rId3" Type="http://schemas.openxmlformats.org/officeDocument/2006/relationships/hyperlink" Target="https://www.democratic-erosion.com/2020/02/12/democratic-backsliding-in-italy-and-the-rise-of-matteo-salvini/" TargetMode="External"/><Relationship Id="rId7" Type="http://schemas.openxmlformats.org/officeDocument/2006/relationships/hyperlink" Target="https://cidu.esteri.it/comitatodirittiumani/it/" TargetMode="External"/><Relationship Id="rId12" Type="http://schemas.openxmlformats.org/officeDocument/2006/relationships/hyperlink" Target="https://reform-support.ec.europa.eu/supporting-reforms-italy-tsi-2022_en" TargetMode="External"/><Relationship Id="rId2" Type="http://schemas.openxmlformats.org/officeDocument/2006/relationships/hyperlink" Target="file:///C:/Users/salvatore/Downloads/resilience-without-resistance-public-administration-under-mutating-populisms-in-office-in-italy.pdf" TargetMode="External"/><Relationship Id="rId1" Type="http://schemas.openxmlformats.org/officeDocument/2006/relationships/hyperlink" Target="https://eur-lex.europa.eu/legal-content/EN/TXT/PDF/?uri=CELEX:52014DC0158&amp;from=EN" TargetMode="External"/><Relationship Id="rId6" Type="http://schemas.openxmlformats.org/officeDocument/2006/relationships/hyperlink" Target="https://www.forgionegianluca.it/PROCEDIMENTI_AMMINISTRATIVI/DOTTRINA/FONTI/2011_ccost_115_principio_legalita_sostanziale.php" TargetMode="External"/><Relationship Id="rId11" Type="http://schemas.openxmlformats.org/officeDocument/2006/relationships/hyperlink" Target="https://commission.europa.eu/publications/2022-rule-law-report-communication-and-country-chapters_en" TargetMode="External"/><Relationship Id="rId5" Type="http://schemas.openxmlformats.org/officeDocument/2006/relationships/hyperlink" Target="https://www.europarl.europa.eu/document/activities/cont/200804/20080403ATT25664/20080403ATT25664IT.pdf%20last%20accessed%2002/03/2023" TargetMode="External"/><Relationship Id="rId10" Type="http://schemas.openxmlformats.org/officeDocument/2006/relationships/hyperlink" Target="https://eur-lex.europa.eu/legal-content/EN/TXT/PDF/?uri=CELEX:52020SC0311&amp;from=EN" TargetMode="External"/><Relationship Id="rId4" Type="http://schemas.openxmlformats.org/officeDocument/2006/relationships/hyperlink" Target="http://documenti.camera.it/leg18/pdl/pdf/leg.18.pdl.camera.716.18PDL0015210.pdf" TargetMode="External"/><Relationship Id="rId9" Type="http://schemas.openxmlformats.org/officeDocument/2006/relationships/hyperlink" Target="https://www.europarl.europa.eu/document/activities/cont/200804/20080403ATT25664/20080403ATT25664I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esktop\Milieu%20proposal%20template%202019.dotx" TargetMode="External"/></Relationships>
</file>

<file path=word/theme/theme1.xml><?xml version="1.0" encoding="utf-8"?>
<a:theme xmlns:a="http://schemas.openxmlformats.org/drawingml/2006/main" name="Office Theme">
  <a:themeElements>
    <a:clrScheme name="M Color">
      <a:dk1>
        <a:sysClr val="windowText" lastClr="000000"/>
      </a:dk1>
      <a:lt1>
        <a:sysClr val="window" lastClr="FFFFFF"/>
      </a:lt1>
      <a:dk2>
        <a:srgbClr val="EAF1DD"/>
      </a:dk2>
      <a:lt2>
        <a:srgbClr val="7AB800"/>
      </a:lt2>
      <a:accent1>
        <a:srgbClr val="C3D69B"/>
      </a:accent1>
      <a:accent2>
        <a:srgbClr val="953735"/>
      </a:accent2>
      <a:accent3>
        <a:srgbClr val="DBDBDB"/>
      </a:accent3>
      <a:accent4>
        <a:srgbClr val="A6A6A6"/>
      </a:accent4>
      <a:accent5>
        <a:srgbClr val="385D8A"/>
      </a:accent5>
      <a:accent6>
        <a:srgbClr val="F79646"/>
      </a:accent6>
      <a:hlink>
        <a:srgbClr val="0000FF"/>
      </a:hlink>
      <a:folHlink>
        <a:srgbClr val="800080"/>
      </a:folHlink>
    </a:clrScheme>
    <a:fontScheme name="Milieu Proposal">
      <a:majorFont>
        <a:latin typeface="Century Gothic"/>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B66DE-A474-49E5-A51A-9D9C3B9B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Milieu proposal template 2019</Template>
  <TotalTime>24</TotalTime>
  <Pages>17</Pages>
  <Words>6113</Words>
  <Characters>35198</Characters>
  <Application>Microsoft Office Word</Application>
  <DocSecurity>0</DocSecurity>
  <Lines>293</Lines>
  <Paragraphs>82</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1</vt:lpstr>
      <vt:lpstr>1</vt:lpstr>
      <vt:lpstr>1</vt:lpstr>
    </vt:vector>
  </TitlesOfParts>
  <Company>Milieu</Company>
  <LinksUpToDate>false</LinksUpToDate>
  <CharactersWithSpaces>41229</CharactersWithSpaces>
  <SharedDoc>false</SharedDoc>
  <HLinks>
    <vt:vector size="66" baseType="variant">
      <vt:variant>
        <vt:i4>1441854</vt:i4>
      </vt:variant>
      <vt:variant>
        <vt:i4>56</vt:i4>
      </vt:variant>
      <vt:variant>
        <vt:i4>0</vt:i4>
      </vt:variant>
      <vt:variant>
        <vt:i4>5</vt:i4>
      </vt:variant>
      <vt:variant>
        <vt:lpwstr/>
      </vt:variant>
      <vt:variant>
        <vt:lpwstr>_Toc361741818</vt:lpwstr>
      </vt:variant>
      <vt:variant>
        <vt:i4>1441854</vt:i4>
      </vt:variant>
      <vt:variant>
        <vt:i4>50</vt:i4>
      </vt:variant>
      <vt:variant>
        <vt:i4>0</vt:i4>
      </vt:variant>
      <vt:variant>
        <vt:i4>5</vt:i4>
      </vt:variant>
      <vt:variant>
        <vt:lpwstr/>
      </vt:variant>
      <vt:variant>
        <vt:lpwstr>_Toc361741817</vt:lpwstr>
      </vt:variant>
      <vt:variant>
        <vt:i4>1441854</vt:i4>
      </vt:variant>
      <vt:variant>
        <vt:i4>44</vt:i4>
      </vt:variant>
      <vt:variant>
        <vt:i4>0</vt:i4>
      </vt:variant>
      <vt:variant>
        <vt:i4>5</vt:i4>
      </vt:variant>
      <vt:variant>
        <vt:lpwstr/>
      </vt:variant>
      <vt:variant>
        <vt:lpwstr>_Toc361741816</vt:lpwstr>
      </vt:variant>
      <vt:variant>
        <vt:i4>1441854</vt:i4>
      </vt:variant>
      <vt:variant>
        <vt:i4>38</vt:i4>
      </vt:variant>
      <vt:variant>
        <vt:i4>0</vt:i4>
      </vt:variant>
      <vt:variant>
        <vt:i4>5</vt:i4>
      </vt:variant>
      <vt:variant>
        <vt:lpwstr/>
      </vt:variant>
      <vt:variant>
        <vt:lpwstr>_Toc361741815</vt:lpwstr>
      </vt:variant>
      <vt:variant>
        <vt:i4>1441854</vt:i4>
      </vt:variant>
      <vt:variant>
        <vt:i4>32</vt:i4>
      </vt:variant>
      <vt:variant>
        <vt:i4>0</vt:i4>
      </vt:variant>
      <vt:variant>
        <vt:i4>5</vt:i4>
      </vt:variant>
      <vt:variant>
        <vt:lpwstr/>
      </vt:variant>
      <vt:variant>
        <vt:lpwstr>_Toc361741814</vt:lpwstr>
      </vt:variant>
      <vt:variant>
        <vt:i4>1441854</vt:i4>
      </vt:variant>
      <vt:variant>
        <vt:i4>26</vt:i4>
      </vt:variant>
      <vt:variant>
        <vt:i4>0</vt:i4>
      </vt:variant>
      <vt:variant>
        <vt:i4>5</vt:i4>
      </vt:variant>
      <vt:variant>
        <vt:lpwstr/>
      </vt:variant>
      <vt:variant>
        <vt:lpwstr>_Toc361741813</vt:lpwstr>
      </vt:variant>
      <vt:variant>
        <vt:i4>1441854</vt:i4>
      </vt:variant>
      <vt:variant>
        <vt:i4>20</vt:i4>
      </vt:variant>
      <vt:variant>
        <vt:i4>0</vt:i4>
      </vt:variant>
      <vt:variant>
        <vt:i4>5</vt:i4>
      </vt:variant>
      <vt:variant>
        <vt:lpwstr/>
      </vt:variant>
      <vt:variant>
        <vt:lpwstr>_Toc361741812</vt:lpwstr>
      </vt:variant>
      <vt:variant>
        <vt:i4>1441854</vt:i4>
      </vt:variant>
      <vt:variant>
        <vt:i4>14</vt:i4>
      </vt:variant>
      <vt:variant>
        <vt:i4>0</vt:i4>
      </vt:variant>
      <vt:variant>
        <vt:i4>5</vt:i4>
      </vt:variant>
      <vt:variant>
        <vt:lpwstr/>
      </vt:variant>
      <vt:variant>
        <vt:lpwstr>_Toc361741811</vt:lpwstr>
      </vt:variant>
      <vt:variant>
        <vt:i4>1441854</vt:i4>
      </vt:variant>
      <vt:variant>
        <vt:i4>8</vt:i4>
      </vt:variant>
      <vt:variant>
        <vt:i4>0</vt:i4>
      </vt:variant>
      <vt:variant>
        <vt:i4>5</vt:i4>
      </vt:variant>
      <vt:variant>
        <vt:lpwstr/>
      </vt:variant>
      <vt:variant>
        <vt:lpwstr>_Toc361741810</vt:lpwstr>
      </vt:variant>
      <vt:variant>
        <vt:i4>262215</vt:i4>
      </vt:variant>
      <vt:variant>
        <vt:i4>3</vt:i4>
      </vt:variant>
      <vt:variant>
        <vt:i4>0</vt:i4>
      </vt:variant>
      <vt:variant>
        <vt:i4>5</vt:i4>
      </vt:variant>
      <vt:variant>
        <vt:lpwstr>http://www.milieu.be/</vt:lpwstr>
      </vt:variant>
      <vt:variant>
        <vt:lpwstr/>
      </vt:variant>
      <vt:variant>
        <vt:i4>5636145</vt:i4>
      </vt:variant>
      <vt:variant>
        <vt:i4>0</vt:i4>
      </vt:variant>
      <vt:variant>
        <vt:i4>0</vt:i4>
      </vt:variant>
      <vt:variant>
        <vt:i4>5</vt:i4>
      </vt:variant>
      <vt:variant>
        <vt:lpwstr>mailto:julia.lietzmann@milieu.be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Véronique Bruggeman</dc:creator>
  <cp:lastModifiedBy>Marta Ballesteros</cp:lastModifiedBy>
  <cp:revision>7</cp:revision>
  <cp:lastPrinted>2020-10-21T11:55:00Z</cp:lastPrinted>
  <dcterms:created xsi:type="dcterms:W3CDTF">2023-04-05T12:37:00Z</dcterms:created>
  <dcterms:modified xsi:type="dcterms:W3CDTF">2023-05-03T07:22:00Z</dcterms:modified>
</cp:coreProperties>
</file>